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D1" w:rsidRPr="008C6165" w:rsidRDefault="00DB67D1" w:rsidP="00DB67D1">
      <w:pPr>
        <w:rPr>
          <w:rStyle w:val="Estilo11ptVermelho"/>
          <w:rFonts w:ascii="Arial" w:hAnsi="Arial" w:cs="Arial"/>
          <w:b/>
          <w:color w:val="auto"/>
          <w:sz w:val="24"/>
        </w:rPr>
      </w:pPr>
      <w:bookmarkStart w:id="0" w:name="_GoBack"/>
      <w:bookmarkEnd w:id="0"/>
      <w:r>
        <w:rPr>
          <w:rStyle w:val="Estilo11ptVermelho"/>
          <w:rFonts w:ascii="Arial" w:hAnsi="Arial" w:cs="Arial"/>
          <w:b/>
          <w:color w:val="auto"/>
          <w:sz w:val="24"/>
        </w:rPr>
        <w:t>1</w:t>
      </w:r>
      <w:r w:rsidRPr="008C6165">
        <w:rPr>
          <w:rStyle w:val="Estilo11ptVermelho"/>
          <w:rFonts w:ascii="Arial" w:hAnsi="Arial" w:cs="Arial"/>
          <w:b/>
          <w:color w:val="auto"/>
          <w:sz w:val="24"/>
        </w:rPr>
        <w:t xml:space="preserve">. </w:t>
      </w:r>
      <w:r>
        <w:rPr>
          <w:rStyle w:val="Estilo11ptVermelho"/>
          <w:rFonts w:ascii="Arial" w:hAnsi="Arial" w:cs="Arial"/>
          <w:b/>
          <w:color w:val="auto"/>
          <w:sz w:val="24"/>
        </w:rPr>
        <w:t>INTRODUÇÃO</w:t>
      </w:r>
    </w:p>
    <w:p w:rsidR="00695ADA" w:rsidRPr="00ED2577" w:rsidRDefault="000054FD" w:rsidP="00DB67D1">
      <w:pPr>
        <w:ind w:firstLine="708"/>
        <w:rPr>
          <w:rFonts w:ascii="Arial" w:hAnsi="Arial" w:cs="Arial"/>
          <w:sz w:val="24"/>
        </w:rPr>
      </w:pPr>
      <w:r>
        <w:rPr>
          <w:rFonts w:ascii="Arial" w:hAnsi="Arial" w:cs="Arial"/>
          <w:sz w:val="24"/>
        </w:rPr>
        <w:t xml:space="preserve">Dentro </w:t>
      </w:r>
      <w:r w:rsidR="00DA4486">
        <w:rPr>
          <w:rFonts w:ascii="Arial" w:hAnsi="Arial" w:cs="Arial"/>
          <w:sz w:val="24"/>
        </w:rPr>
        <w:t>do campo das</w:t>
      </w:r>
      <w:r w:rsidR="008B32A4">
        <w:rPr>
          <w:rFonts w:ascii="Arial" w:hAnsi="Arial" w:cs="Arial"/>
          <w:sz w:val="24"/>
        </w:rPr>
        <w:t xml:space="preserve"> finanças</w:t>
      </w:r>
      <w:r w:rsidR="00DA4486">
        <w:rPr>
          <w:rFonts w:ascii="Arial" w:hAnsi="Arial" w:cs="Arial"/>
          <w:sz w:val="24"/>
        </w:rPr>
        <w:t>,</w:t>
      </w:r>
      <w:r>
        <w:rPr>
          <w:rFonts w:ascii="Arial" w:hAnsi="Arial" w:cs="Arial"/>
          <w:sz w:val="24"/>
        </w:rPr>
        <w:t xml:space="preserve"> </w:t>
      </w:r>
      <w:r w:rsidR="00695ADA" w:rsidRPr="00ED2577">
        <w:rPr>
          <w:rFonts w:ascii="Arial" w:hAnsi="Arial" w:cs="Arial"/>
          <w:sz w:val="24"/>
        </w:rPr>
        <w:t xml:space="preserve">os benefícios da diversificação </w:t>
      </w:r>
      <w:r w:rsidR="00F834A4">
        <w:rPr>
          <w:rFonts w:ascii="Arial" w:hAnsi="Arial" w:cs="Arial"/>
          <w:sz w:val="24"/>
        </w:rPr>
        <w:t>de portfólio trazida por Markovitz (1952)</w:t>
      </w:r>
      <w:r w:rsidR="00DA4486">
        <w:rPr>
          <w:rFonts w:ascii="Arial" w:hAnsi="Arial" w:cs="Arial"/>
          <w:sz w:val="24"/>
        </w:rPr>
        <w:t xml:space="preserve"> </w:t>
      </w:r>
      <w:r w:rsidR="00E07838">
        <w:rPr>
          <w:rFonts w:ascii="Arial" w:hAnsi="Arial" w:cs="Arial"/>
          <w:sz w:val="24"/>
        </w:rPr>
        <w:t>são indiscutíveis</w:t>
      </w:r>
      <w:r w:rsidR="00695ADA" w:rsidRPr="00ED2577">
        <w:rPr>
          <w:rFonts w:ascii="Arial" w:hAnsi="Arial" w:cs="Arial"/>
          <w:sz w:val="24"/>
        </w:rPr>
        <w:t>. Porém</w:t>
      </w:r>
      <w:r w:rsidR="005332E0">
        <w:rPr>
          <w:rFonts w:ascii="Arial" w:hAnsi="Arial" w:cs="Arial"/>
          <w:sz w:val="24"/>
        </w:rPr>
        <w:t>,</w:t>
      </w:r>
      <w:r>
        <w:rPr>
          <w:rFonts w:ascii="Arial" w:hAnsi="Arial" w:cs="Arial"/>
          <w:sz w:val="24"/>
        </w:rPr>
        <w:t xml:space="preserve"> </w:t>
      </w:r>
      <w:r w:rsidR="005332E0" w:rsidRPr="00ED2577">
        <w:rPr>
          <w:rFonts w:ascii="Arial" w:hAnsi="Arial" w:cs="Arial"/>
          <w:sz w:val="24"/>
        </w:rPr>
        <w:t xml:space="preserve">muitos </w:t>
      </w:r>
      <w:r w:rsidR="00E07838">
        <w:rPr>
          <w:rFonts w:ascii="Arial" w:hAnsi="Arial" w:cs="Arial"/>
          <w:sz w:val="24"/>
        </w:rPr>
        <w:t xml:space="preserve">investidores </w:t>
      </w:r>
      <w:r w:rsidR="005332E0">
        <w:rPr>
          <w:rFonts w:ascii="Arial" w:hAnsi="Arial" w:cs="Arial"/>
          <w:sz w:val="24"/>
        </w:rPr>
        <w:t>têm</w:t>
      </w:r>
      <w:r w:rsidR="00BD7549">
        <w:rPr>
          <w:rFonts w:ascii="Arial" w:hAnsi="Arial" w:cs="Arial"/>
          <w:sz w:val="24"/>
        </w:rPr>
        <w:t xml:space="preserve"> o seu nível de diversificação baixo, principalmente por vieses comportamentais como o </w:t>
      </w:r>
      <w:r w:rsidR="00BD7549" w:rsidRPr="00ED2577">
        <w:rPr>
          <w:rFonts w:ascii="Arial" w:hAnsi="Arial" w:cs="Arial"/>
          <w:sz w:val="24"/>
        </w:rPr>
        <w:t xml:space="preserve">excesso de confiança ou </w:t>
      </w:r>
      <w:r w:rsidR="007D42E7">
        <w:rPr>
          <w:rFonts w:ascii="Arial" w:hAnsi="Arial" w:cs="Arial"/>
          <w:sz w:val="24"/>
        </w:rPr>
        <w:t xml:space="preserve">pela </w:t>
      </w:r>
      <w:r w:rsidR="00BD7549" w:rsidRPr="00ED2577">
        <w:rPr>
          <w:rFonts w:ascii="Arial" w:hAnsi="Arial" w:cs="Arial"/>
          <w:sz w:val="24"/>
        </w:rPr>
        <w:t>tendê</w:t>
      </w:r>
      <w:r w:rsidR="00BD7549">
        <w:rPr>
          <w:rFonts w:ascii="Arial" w:hAnsi="Arial" w:cs="Arial"/>
          <w:sz w:val="24"/>
        </w:rPr>
        <w:t>ncia</w:t>
      </w:r>
      <w:r w:rsidR="00E07838">
        <w:rPr>
          <w:rFonts w:ascii="Arial" w:hAnsi="Arial" w:cs="Arial"/>
          <w:sz w:val="24"/>
        </w:rPr>
        <w:t xml:space="preserve"> </w:t>
      </w:r>
      <w:r w:rsidR="007D42E7">
        <w:rPr>
          <w:rFonts w:ascii="Arial" w:hAnsi="Arial" w:cs="Arial"/>
          <w:sz w:val="24"/>
        </w:rPr>
        <w:t xml:space="preserve">de </w:t>
      </w:r>
      <w:r w:rsidR="00BD7549" w:rsidRPr="00ED2577">
        <w:rPr>
          <w:rFonts w:ascii="Arial" w:hAnsi="Arial" w:cs="Arial"/>
          <w:sz w:val="24"/>
        </w:rPr>
        <w:t xml:space="preserve">concentrar </w:t>
      </w:r>
      <w:r w:rsidR="00BD7549">
        <w:rPr>
          <w:rFonts w:ascii="Arial" w:hAnsi="Arial" w:cs="Arial"/>
          <w:sz w:val="24"/>
        </w:rPr>
        <w:t xml:space="preserve">seu portfólio </w:t>
      </w:r>
      <w:r w:rsidR="00BD7549" w:rsidRPr="00ED2577">
        <w:rPr>
          <w:rFonts w:ascii="Arial" w:hAnsi="Arial" w:cs="Arial"/>
          <w:sz w:val="24"/>
        </w:rPr>
        <w:t>no que</w:t>
      </w:r>
      <w:r w:rsidR="008258BD">
        <w:rPr>
          <w:rFonts w:ascii="Arial" w:hAnsi="Arial" w:cs="Arial"/>
          <w:sz w:val="24"/>
        </w:rPr>
        <w:t xml:space="preserve"> lhes</w:t>
      </w:r>
      <w:r w:rsidR="00BD7549" w:rsidRPr="00ED2577">
        <w:rPr>
          <w:rFonts w:ascii="Arial" w:hAnsi="Arial" w:cs="Arial"/>
          <w:sz w:val="24"/>
        </w:rPr>
        <w:t xml:space="preserve"> é familiar</w:t>
      </w:r>
      <w:r w:rsidR="00BD7549">
        <w:rPr>
          <w:rFonts w:ascii="Arial" w:hAnsi="Arial" w:cs="Arial"/>
          <w:sz w:val="24"/>
        </w:rPr>
        <w:t xml:space="preserve">. Para este comportamento, </w:t>
      </w:r>
      <w:r w:rsidR="00475C50" w:rsidRPr="00ED2577">
        <w:rPr>
          <w:rFonts w:ascii="Arial" w:hAnsi="Arial" w:cs="Arial"/>
          <w:sz w:val="24"/>
        </w:rPr>
        <w:t>dá</w:t>
      </w:r>
      <w:r w:rsidR="00475C50">
        <w:rPr>
          <w:rFonts w:ascii="Arial" w:hAnsi="Arial" w:cs="Arial"/>
          <w:sz w:val="24"/>
        </w:rPr>
        <w:t>-se</w:t>
      </w:r>
      <w:r w:rsidR="004A7C60" w:rsidRPr="00ED2577">
        <w:rPr>
          <w:rFonts w:ascii="Arial" w:hAnsi="Arial" w:cs="Arial"/>
          <w:sz w:val="24"/>
        </w:rPr>
        <w:t xml:space="preserve"> o</w:t>
      </w:r>
      <w:r w:rsidR="00695ADA" w:rsidRPr="00ED2577">
        <w:rPr>
          <w:rFonts w:ascii="Arial" w:hAnsi="Arial" w:cs="Arial"/>
          <w:sz w:val="24"/>
        </w:rPr>
        <w:t xml:space="preserve"> nome </w:t>
      </w:r>
      <w:r w:rsidR="004A7C60" w:rsidRPr="00ED2577">
        <w:rPr>
          <w:rFonts w:ascii="Arial" w:hAnsi="Arial" w:cs="Arial"/>
          <w:sz w:val="24"/>
        </w:rPr>
        <w:t>de</w:t>
      </w:r>
      <w:r w:rsidR="00140CEA">
        <w:rPr>
          <w:rFonts w:ascii="Arial" w:hAnsi="Arial" w:cs="Arial"/>
          <w:sz w:val="24"/>
        </w:rPr>
        <w:t xml:space="preserve"> </w:t>
      </w:r>
      <w:r w:rsidR="00695ADA" w:rsidRPr="00475C50">
        <w:rPr>
          <w:rFonts w:ascii="Arial" w:hAnsi="Arial" w:cs="Arial"/>
          <w:i/>
          <w:sz w:val="24"/>
        </w:rPr>
        <w:t>Home Bias</w:t>
      </w:r>
      <w:r w:rsidR="00695ADA" w:rsidRPr="00ED2577">
        <w:rPr>
          <w:rFonts w:ascii="Arial" w:hAnsi="Arial" w:cs="Arial"/>
          <w:sz w:val="24"/>
        </w:rPr>
        <w:t>.</w:t>
      </w:r>
    </w:p>
    <w:p w:rsidR="00BD7549" w:rsidRDefault="0032259C" w:rsidP="00DB67D1">
      <w:pPr>
        <w:ind w:firstLine="708"/>
        <w:rPr>
          <w:rFonts w:ascii="Arial" w:hAnsi="Arial" w:cs="Arial"/>
          <w:sz w:val="24"/>
        </w:rPr>
      </w:pPr>
      <w:r w:rsidRPr="00ED2577">
        <w:rPr>
          <w:rFonts w:ascii="Arial" w:hAnsi="Arial" w:cs="Arial"/>
          <w:sz w:val="24"/>
        </w:rPr>
        <w:t xml:space="preserve">A nosso conhecimento, o </w:t>
      </w:r>
      <w:r w:rsidRPr="00F834A4">
        <w:rPr>
          <w:rFonts w:ascii="Arial" w:hAnsi="Arial" w:cs="Arial"/>
          <w:i/>
          <w:sz w:val="24"/>
        </w:rPr>
        <w:t>Home Bias</w:t>
      </w:r>
      <w:r w:rsidRPr="00ED2577">
        <w:rPr>
          <w:rFonts w:ascii="Arial" w:hAnsi="Arial" w:cs="Arial"/>
          <w:sz w:val="24"/>
        </w:rPr>
        <w:t xml:space="preserve"> foi d</w:t>
      </w:r>
      <w:r w:rsidR="007C0E5D" w:rsidRPr="00ED2577">
        <w:rPr>
          <w:rFonts w:ascii="Arial" w:hAnsi="Arial" w:cs="Arial"/>
          <w:sz w:val="24"/>
        </w:rPr>
        <w:t xml:space="preserve">ocumentado pela primeira vez por French e Porteba (1991), </w:t>
      </w:r>
      <w:r w:rsidR="00BD7549">
        <w:rPr>
          <w:rFonts w:ascii="Arial" w:hAnsi="Arial" w:cs="Arial"/>
          <w:sz w:val="24"/>
        </w:rPr>
        <w:t>que comprovaram a preferência dos investidores</w:t>
      </w:r>
      <w:r w:rsidR="008258BD">
        <w:rPr>
          <w:rFonts w:ascii="Arial" w:hAnsi="Arial" w:cs="Arial"/>
          <w:sz w:val="24"/>
        </w:rPr>
        <w:t xml:space="preserve"> para ações nacionais do que para as de </w:t>
      </w:r>
      <w:r w:rsidR="00BD7549">
        <w:rPr>
          <w:rFonts w:ascii="Arial" w:hAnsi="Arial" w:cs="Arial"/>
          <w:sz w:val="24"/>
        </w:rPr>
        <w:t>outros países</w:t>
      </w:r>
      <w:r w:rsidR="007C0E5D" w:rsidRPr="00ED2577">
        <w:rPr>
          <w:rFonts w:ascii="Arial" w:hAnsi="Arial" w:cs="Arial"/>
          <w:sz w:val="24"/>
        </w:rPr>
        <w:t xml:space="preserve">. Usando dados </w:t>
      </w:r>
      <w:r w:rsidR="008258BD">
        <w:rPr>
          <w:rFonts w:ascii="Arial" w:hAnsi="Arial" w:cs="Arial"/>
          <w:sz w:val="24"/>
        </w:rPr>
        <w:t>d</w:t>
      </w:r>
      <w:r w:rsidR="007C0E5D" w:rsidRPr="00ED2577">
        <w:rPr>
          <w:rFonts w:ascii="Arial" w:hAnsi="Arial" w:cs="Arial"/>
          <w:sz w:val="24"/>
        </w:rPr>
        <w:t>os EUA, Japão, Reino Unido, França e Alemanha,</w:t>
      </w:r>
      <w:r w:rsidR="007D42E7">
        <w:rPr>
          <w:rFonts w:ascii="Arial" w:hAnsi="Arial" w:cs="Arial"/>
          <w:sz w:val="24"/>
        </w:rPr>
        <w:t xml:space="preserve"> mostraram</w:t>
      </w:r>
      <w:r w:rsidR="007C0E5D" w:rsidRPr="00ED2577">
        <w:rPr>
          <w:rFonts w:ascii="Arial" w:hAnsi="Arial" w:cs="Arial"/>
          <w:sz w:val="24"/>
        </w:rPr>
        <w:t xml:space="preserve"> que os investidores detêm uma parcela desproporcional de ativos domésti</w:t>
      </w:r>
      <w:r w:rsidR="007D42E7">
        <w:rPr>
          <w:rFonts w:ascii="Arial" w:hAnsi="Arial" w:cs="Arial"/>
          <w:sz w:val="24"/>
        </w:rPr>
        <w:t>cos em suas carteiras de ações quando comparados com ativos estrangeiros.</w:t>
      </w:r>
    </w:p>
    <w:p w:rsidR="007C0E5D" w:rsidRPr="00ED2577" w:rsidRDefault="00BD7549" w:rsidP="00DB67D1">
      <w:pPr>
        <w:ind w:firstLine="708"/>
        <w:rPr>
          <w:rFonts w:ascii="Arial" w:hAnsi="Arial" w:cs="Arial"/>
          <w:sz w:val="24"/>
        </w:rPr>
      </w:pPr>
      <w:r>
        <w:rPr>
          <w:rFonts w:ascii="Arial" w:hAnsi="Arial" w:cs="Arial"/>
          <w:sz w:val="24"/>
        </w:rPr>
        <w:t>Coval e Moskowitz (1999) mostr</w:t>
      </w:r>
      <w:r w:rsidR="0032259C" w:rsidRPr="00ED2577">
        <w:rPr>
          <w:rFonts w:ascii="Arial" w:hAnsi="Arial" w:cs="Arial"/>
          <w:sz w:val="24"/>
        </w:rPr>
        <w:t>am</w:t>
      </w:r>
      <w:r w:rsidR="007C0E5D" w:rsidRPr="00ED2577">
        <w:rPr>
          <w:rFonts w:ascii="Arial" w:hAnsi="Arial" w:cs="Arial"/>
          <w:sz w:val="24"/>
        </w:rPr>
        <w:t xml:space="preserve"> que o </w:t>
      </w:r>
      <w:r w:rsidR="0032259C" w:rsidRPr="00F834A4">
        <w:rPr>
          <w:rFonts w:ascii="Arial" w:hAnsi="Arial" w:cs="Arial"/>
          <w:i/>
          <w:sz w:val="24"/>
        </w:rPr>
        <w:t>Home Bias</w:t>
      </w:r>
      <w:r w:rsidR="007C0E5D" w:rsidRPr="00ED2577">
        <w:rPr>
          <w:rFonts w:ascii="Arial" w:hAnsi="Arial" w:cs="Arial"/>
          <w:sz w:val="24"/>
        </w:rPr>
        <w:t xml:space="preserve"> não se limita às carteiras internacionais, mas que </w:t>
      </w:r>
      <w:r w:rsidR="005332E0">
        <w:rPr>
          <w:rFonts w:ascii="Arial" w:hAnsi="Arial" w:cs="Arial"/>
          <w:sz w:val="24"/>
        </w:rPr>
        <w:t xml:space="preserve">há </w:t>
      </w:r>
      <w:r w:rsidR="007C0E5D" w:rsidRPr="00ED2577">
        <w:rPr>
          <w:rFonts w:ascii="Arial" w:hAnsi="Arial" w:cs="Arial"/>
          <w:sz w:val="24"/>
        </w:rPr>
        <w:t xml:space="preserve">preferência por investir </w:t>
      </w:r>
      <w:r w:rsidR="005332E0">
        <w:rPr>
          <w:rFonts w:ascii="Arial" w:hAnsi="Arial" w:cs="Arial"/>
          <w:sz w:val="24"/>
        </w:rPr>
        <w:t xml:space="preserve">em ativos </w:t>
      </w:r>
      <w:r w:rsidR="00E47453">
        <w:rPr>
          <w:rFonts w:ascii="Arial" w:hAnsi="Arial" w:cs="Arial"/>
          <w:sz w:val="24"/>
        </w:rPr>
        <w:t xml:space="preserve">domésticos </w:t>
      </w:r>
      <w:r w:rsidR="005332E0">
        <w:rPr>
          <w:rFonts w:ascii="Arial" w:hAnsi="Arial" w:cs="Arial"/>
          <w:sz w:val="24"/>
        </w:rPr>
        <w:t>mais próximos também</w:t>
      </w:r>
      <w:r w:rsidR="007C0E5D" w:rsidRPr="00ED2577">
        <w:rPr>
          <w:rFonts w:ascii="Arial" w:hAnsi="Arial" w:cs="Arial"/>
          <w:sz w:val="24"/>
        </w:rPr>
        <w:t>. Especificamente, eles mostraram que os ge</w:t>
      </w:r>
      <w:r w:rsidR="00695ADA" w:rsidRPr="00ED2577">
        <w:rPr>
          <w:rFonts w:ascii="Arial" w:hAnsi="Arial" w:cs="Arial"/>
          <w:sz w:val="24"/>
        </w:rPr>
        <w:t>stores</w:t>
      </w:r>
      <w:r w:rsidR="007C0E5D" w:rsidRPr="00ED2577">
        <w:rPr>
          <w:rFonts w:ascii="Arial" w:hAnsi="Arial" w:cs="Arial"/>
          <w:sz w:val="24"/>
        </w:rPr>
        <w:t xml:space="preserve"> de investimento norte-americanos apresentam uma forte preferência por empresas locais</w:t>
      </w:r>
      <w:r w:rsidR="00E47453">
        <w:rPr>
          <w:rFonts w:ascii="Arial" w:hAnsi="Arial" w:cs="Arial"/>
          <w:sz w:val="24"/>
        </w:rPr>
        <w:t xml:space="preserve"> em seus portfólios</w:t>
      </w:r>
      <w:r w:rsidR="007C0E5D" w:rsidRPr="00ED2577">
        <w:rPr>
          <w:rFonts w:ascii="Arial" w:hAnsi="Arial" w:cs="Arial"/>
          <w:sz w:val="24"/>
        </w:rPr>
        <w:t>.</w:t>
      </w:r>
    </w:p>
    <w:p w:rsidR="00695ADA" w:rsidRPr="00ED2577" w:rsidRDefault="00140CEA" w:rsidP="00DB67D1">
      <w:pPr>
        <w:ind w:firstLine="708"/>
        <w:rPr>
          <w:rFonts w:ascii="Arial" w:hAnsi="Arial" w:cs="Arial"/>
          <w:sz w:val="24"/>
        </w:rPr>
      </w:pPr>
      <w:r>
        <w:rPr>
          <w:rFonts w:ascii="Arial" w:hAnsi="Arial" w:cs="Arial"/>
          <w:sz w:val="24"/>
        </w:rPr>
        <w:t xml:space="preserve">Já Benartzi (2001) </w:t>
      </w:r>
      <w:r w:rsidRPr="008C6165">
        <w:rPr>
          <w:rFonts w:ascii="Arial" w:hAnsi="Arial" w:cs="Arial"/>
          <w:sz w:val="24"/>
        </w:rPr>
        <w:t>e Nellie e Weisbenner</w:t>
      </w:r>
      <w:r>
        <w:rPr>
          <w:rFonts w:ascii="Arial" w:hAnsi="Arial" w:cs="Arial"/>
          <w:sz w:val="24"/>
        </w:rPr>
        <w:t xml:space="preserve"> (2002), analisaram o </w:t>
      </w:r>
      <w:r w:rsidRPr="00F834A4">
        <w:rPr>
          <w:rFonts w:ascii="Arial" w:hAnsi="Arial" w:cs="Arial"/>
          <w:i/>
          <w:sz w:val="24"/>
        </w:rPr>
        <w:t>Home Bias</w:t>
      </w:r>
      <w:r>
        <w:rPr>
          <w:rFonts w:ascii="Arial" w:hAnsi="Arial" w:cs="Arial"/>
          <w:sz w:val="24"/>
        </w:rPr>
        <w:t xml:space="preserve"> dentro das empresas, com a concentração de investimento dos funcionários em ações da própria empresa onde trabalham, chamando a atenção para a dupla exposição de sua riqueza (salário e investimentos) em uma única fonte, agindo em oposto a teoria da diversificação de portfólio.</w:t>
      </w:r>
    </w:p>
    <w:p w:rsidR="000054FD" w:rsidRDefault="00793C4F" w:rsidP="007D42E7">
      <w:pPr>
        <w:ind w:firstLine="708"/>
        <w:rPr>
          <w:rFonts w:ascii="Arial" w:hAnsi="Arial" w:cs="Arial"/>
          <w:sz w:val="24"/>
        </w:rPr>
      </w:pPr>
      <w:r w:rsidRPr="00ED2577">
        <w:rPr>
          <w:rFonts w:ascii="Arial" w:hAnsi="Arial" w:cs="Arial"/>
          <w:sz w:val="24"/>
        </w:rPr>
        <w:t>O presente artigo se destina a apresentar uma análise da</w:t>
      </w:r>
      <w:r w:rsidR="00ED2577" w:rsidRPr="00ED2577">
        <w:rPr>
          <w:rFonts w:ascii="Arial" w:hAnsi="Arial" w:cs="Arial"/>
          <w:sz w:val="24"/>
        </w:rPr>
        <w:t xml:space="preserve"> concentração do portfólio de ações de investidores brasileiros, nas próprias empresas onde trabalham.</w:t>
      </w:r>
      <w:r w:rsidR="000054FD">
        <w:rPr>
          <w:rFonts w:ascii="Arial" w:hAnsi="Arial" w:cs="Arial"/>
          <w:sz w:val="24"/>
        </w:rPr>
        <w:t xml:space="preserve"> </w:t>
      </w:r>
      <w:r w:rsidR="00BD7549">
        <w:rPr>
          <w:rFonts w:ascii="Arial" w:hAnsi="Arial" w:cs="Arial"/>
          <w:sz w:val="24"/>
        </w:rPr>
        <w:t>Essa</w:t>
      </w:r>
      <w:r w:rsidR="00ED2577" w:rsidRPr="00ED2577">
        <w:rPr>
          <w:rFonts w:ascii="Arial" w:hAnsi="Arial" w:cs="Arial"/>
          <w:sz w:val="24"/>
        </w:rPr>
        <w:t xml:space="preserve"> análise se concentrará nas ações que estes investidores possuem em custódia,</w:t>
      </w:r>
      <w:r w:rsidRPr="00ED2577">
        <w:rPr>
          <w:rFonts w:ascii="Arial" w:hAnsi="Arial" w:cs="Arial"/>
          <w:sz w:val="24"/>
        </w:rPr>
        <w:t xml:space="preserve"> com o intuito de observar se </w:t>
      </w:r>
      <w:r w:rsidR="00ED2577" w:rsidRPr="00ED2577">
        <w:rPr>
          <w:rFonts w:ascii="Arial" w:hAnsi="Arial" w:cs="Arial"/>
          <w:sz w:val="24"/>
        </w:rPr>
        <w:t xml:space="preserve">o </w:t>
      </w:r>
      <w:r w:rsidR="00ED2577" w:rsidRPr="00127486">
        <w:rPr>
          <w:rFonts w:ascii="Arial" w:hAnsi="Arial" w:cs="Arial"/>
          <w:i/>
          <w:sz w:val="24"/>
        </w:rPr>
        <w:t>Home Bias</w:t>
      </w:r>
      <w:r w:rsidR="00ED2577" w:rsidRPr="00ED2577">
        <w:rPr>
          <w:rFonts w:ascii="Arial" w:hAnsi="Arial" w:cs="Arial"/>
          <w:sz w:val="24"/>
        </w:rPr>
        <w:t xml:space="preserve"> se aplica</w:t>
      </w:r>
      <w:r w:rsidR="007D42E7">
        <w:rPr>
          <w:rFonts w:ascii="Arial" w:hAnsi="Arial" w:cs="Arial"/>
          <w:sz w:val="24"/>
        </w:rPr>
        <w:t xml:space="preserve"> na amostra analisada, e se o retorno histórico das ações influencia sua participação no portfólio dos investidores analisados</w:t>
      </w:r>
      <w:r w:rsidR="000054FD">
        <w:rPr>
          <w:rFonts w:ascii="Arial" w:hAnsi="Arial" w:cs="Arial"/>
          <w:sz w:val="24"/>
        </w:rPr>
        <w:t xml:space="preserve">. </w:t>
      </w:r>
    </w:p>
    <w:p w:rsidR="007D42E7" w:rsidRPr="00ED2577" w:rsidRDefault="008258BD" w:rsidP="000054FD">
      <w:pPr>
        <w:ind w:firstLine="708"/>
        <w:rPr>
          <w:rFonts w:ascii="Arial" w:hAnsi="Arial" w:cs="Arial"/>
          <w:sz w:val="24"/>
        </w:rPr>
      </w:pPr>
      <w:r>
        <w:rPr>
          <w:rFonts w:ascii="Arial" w:hAnsi="Arial" w:cs="Arial"/>
          <w:sz w:val="24"/>
        </w:rPr>
        <w:t>N</w:t>
      </w:r>
      <w:r w:rsidR="000054FD">
        <w:rPr>
          <w:rFonts w:ascii="Arial" w:hAnsi="Arial" w:cs="Arial"/>
          <w:sz w:val="24"/>
        </w:rPr>
        <w:t xml:space="preserve">osso estudo foi </w:t>
      </w:r>
      <w:r>
        <w:rPr>
          <w:rFonts w:ascii="Arial" w:hAnsi="Arial" w:cs="Arial"/>
          <w:sz w:val="24"/>
        </w:rPr>
        <w:t>realizado com uma amostra</w:t>
      </w:r>
      <w:r w:rsidR="000054FD">
        <w:rPr>
          <w:rFonts w:ascii="Arial" w:hAnsi="Arial" w:cs="Arial"/>
          <w:sz w:val="24"/>
        </w:rPr>
        <w:t xml:space="preserve"> extraída de uma corretora </w:t>
      </w:r>
      <w:r w:rsidR="00127486">
        <w:rPr>
          <w:rFonts w:ascii="Arial" w:hAnsi="Arial" w:cs="Arial"/>
          <w:sz w:val="24"/>
        </w:rPr>
        <w:t xml:space="preserve">de valores mobiliários, </w:t>
      </w:r>
      <w:r w:rsidR="000054FD">
        <w:rPr>
          <w:rFonts w:ascii="Arial" w:hAnsi="Arial" w:cs="Arial"/>
          <w:sz w:val="24"/>
        </w:rPr>
        <w:t>representa</w:t>
      </w:r>
      <w:r>
        <w:rPr>
          <w:rFonts w:ascii="Arial" w:hAnsi="Arial" w:cs="Arial"/>
          <w:sz w:val="24"/>
        </w:rPr>
        <w:t>ndo</w:t>
      </w:r>
      <w:r w:rsidR="000054FD">
        <w:rPr>
          <w:rFonts w:ascii="Arial" w:hAnsi="Arial" w:cs="Arial"/>
          <w:sz w:val="24"/>
        </w:rPr>
        <w:t xml:space="preserve"> uma fotografia momentânea da custódia dos investidores analisados, </w:t>
      </w:r>
      <w:r w:rsidR="00127486">
        <w:rPr>
          <w:rFonts w:ascii="Arial" w:hAnsi="Arial" w:cs="Arial"/>
          <w:sz w:val="24"/>
        </w:rPr>
        <w:t>sendo estes</w:t>
      </w:r>
      <w:r>
        <w:rPr>
          <w:rFonts w:ascii="Arial" w:hAnsi="Arial" w:cs="Arial"/>
          <w:sz w:val="24"/>
        </w:rPr>
        <w:t>,</w:t>
      </w:r>
      <w:r w:rsidR="00127486">
        <w:rPr>
          <w:rFonts w:ascii="Arial" w:hAnsi="Arial" w:cs="Arial"/>
          <w:sz w:val="24"/>
        </w:rPr>
        <w:t xml:space="preserve"> </w:t>
      </w:r>
      <w:r w:rsidR="000054FD">
        <w:rPr>
          <w:rFonts w:ascii="Arial" w:hAnsi="Arial" w:cs="Arial"/>
          <w:sz w:val="24"/>
        </w:rPr>
        <w:t xml:space="preserve">dados reais de mercado. Tal estudo, de acordo com nosso conhecimento, ainda não foi </w:t>
      </w:r>
      <w:r w:rsidR="00127486">
        <w:rPr>
          <w:rFonts w:ascii="Arial" w:hAnsi="Arial" w:cs="Arial"/>
          <w:sz w:val="24"/>
        </w:rPr>
        <w:t>realizado</w:t>
      </w:r>
      <w:r w:rsidR="000054FD">
        <w:rPr>
          <w:rFonts w:ascii="Arial" w:hAnsi="Arial" w:cs="Arial"/>
          <w:sz w:val="24"/>
        </w:rPr>
        <w:t xml:space="preserve"> no Brasil.</w:t>
      </w:r>
    </w:p>
    <w:p w:rsidR="007C0E5D" w:rsidRPr="00ED2577" w:rsidRDefault="00695ADA" w:rsidP="00DB67D1">
      <w:pPr>
        <w:ind w:firstLine="708"/>
        <w:rPr>
          <w:rFonts w:ascii="Arial" w:hAnsi="Arial" w:cs="Arial"/>
          <w:sz w:val="24"/>
        </w:rPr>
      </w:pPr>
      <w:r w:rsidRPr="00ED2577">
        <w:rPr>
          <w:rFonts w:ascii="Arial" w:hAnsi="Arial" w:cs="Arial"/>
          <w:sz w:val="24"/>
        </w:rPr>
        <w:lastRenderedPageBreak/>
        <w:t xml:space="preserve">Não temos a intenção de fornecer uma resposta definitiva </w:t>
      </w:r>
      <w:r w:rsidR="00F834A4">
        <w:rPr>
          <w:rFonts w:ascii="Arial" w:hAnsi="Arial" w:cs="Arial"/>
          <w:sz w:val="24"/>
        </w:rPr>
        <w:t xml:space="preserve">sobre o comportamento do indivíduo e </w:t>
      </w:r>
      <w:r w:rsidRPr="00ED2577">
        <w:rPr>
          <w:rFonts w:ascii="Arial" w:hAnsi="Arial" w:cs="Arial"/>
          <w:sz w:val="24"/>
        </w:rPr>
        <w:t>nem escolher entre explicações alternativas</w:t>
      </w:r>
      <w:r w:rsidR="00F834A4">
        <w:rPr>
          <w:rFonts w:ascii="Arial" w:hAnsi="Arial" w:cs="Arial"/>
          <w:sz w:val="24"/>
        </w:rPr>
        <w:t xml:space="preserve"> da revisão bibliográfica</w:t>
      </w:r>
      <w:r w:rsidRPr="00ED2577">
        <w:rPr>
          <w:rFonts w:ascii="Arial" w:hAnsi="Arial" w:cs="Arial"/>
          <w:sz w:val="24"/>
        </w:rPr>
        <w:t>, já que provavelmen</w:t>
      </w:r>
      <w:r w:rsidR="00ED2577" w:rsidRPr="00ED2577">
        <w:rPr>
          <w:rFonts w:ascii="Arial" w:hAnsi="Arial" w:cs="Arial"/>
          <w:sz w:val="24"/>
        </w:rPr>
        <w:t xml:space="preserve">te contribuem em parte para </w:t>
      </w:r>
      <w:r w:rsidR="00F834A4">
        <w:rPr>
          <w:rFonts w:ascii="Arial" w:hAnsi="Arial" w:cs="Arial"/>
          <w:sz w:val="24"/>
        </w:rPr>
        <w:t xml:space="preserve">a </w:t>
      </w:r>
      <w:r w:rsidR="00ED2577" w:rsidRPr="00ED2577">
        <w:rPr>
          <w:rFonts w:ascii="Arial" w:hAnsi="Arial" w:cs="Arial"/>
          <w:sz w:val="24"/>
        </w:rPr>
        <w:t>explicação do viés</w:t>
      </w:r>
      <w:r w:rsidRPr="00ED2577">
        <w:rPr>
          <w:rFonts w:ascii="Arial" w:hAnsi="Arial" w:cs="Arial"/>
          <w:sz w:val="24"/>
        </w:rPr>
        <w:t xml:space="preserve">. Nosso objetivo é avaliar </w:t>
      </w:r>
      <w:r w:rsidR="00F834A4">
        <w:rPr>
          <w:rFonts w:ascii="Arial" w:hAnsi="Arial" w:cs="Arial"/>
          <w:sz w:val="24"/>
        </w:rPr>
        <w:t>os dados baseados no que</w:t>
      </w:r>
      <w:r w:rsidRPr="00ED2577">
        <w:rPr>
          <w:rFonts w:ascii="Arial" w:hAnsi="Arial" w:cs="Arial"/>
          <w:sz w:val="24"/>
        </w:rPr>
        <w:t xml:space="preserve"> a teoria tem </w:t>
      </w:r>
      <w:r w:rsidR="00ED2577" w:rsidRPr="00ED2577">
        <w:rPr>
          <w:rFonts w:ascii="Arial" w:hAnsi="Arial" w:cs="Arial"/>
          <w:sz w:val="24"/>
        </w:rPr>
        <w:t>nos guiado, fornece</w:t>
      </w:r>
      <w:r w:rsidR="00F834A4">
        <w:rPr>
          <w:rFonts w:ascii="Arial" w:hAnsi="Arial" w:cs="Arial"/>
          <w:sz w:val="24"/>
        </w:rPr>
        <w:t>ndo</w:t>
      </w:r>
      <w:r w:rsidRPr="00ED2577">
        <w:rPr>
          <w:rFonts w:ascii="Arial" w:hAnsi="Arial" w:cs="Arial"/>
          <w:sz w:val="24"/>
        </w:rPr>
        <w:t xml:space="preserve"> fat</w:t>
      </w:r>
      <w:r w:rsidR="00F834A4">
        <w:rPr>
          <w:rFonts w:ascii="Arial" w:hAnsi="Arial" w:cs="Arial"/>
          <w:sz w:val="24"/>
        </w:rPr>
        <w:t>os empíricos pertinentes e tomando</w:t>
      </w:r>
      <w:r w:rsidRPr="00ED2577">
        <w:rPr>
          <w:rFonts w:ascii="Arial" w:hAnsi="Arial" w:cs="Arial"/>
          <w:sz w:val="24"/>
        </w:rPr>
        <w:t xml:space="preserve"> uma posição </w:t>
      </w:r>
      <w:r w:rsidR="00ED2577" w:rsidRPr="00ED2577">
        <w:rPr>
          <w:rFonts w:ascii="Arial" w:hAnsi="Arial" w:cs="Arial"/>
          <w:sz w:val="24"/>
        </w:rPr>
        <w:t>sobre quais seriam os próximos passos a se pesquisar.</w:t>
      </w:r>
    </w:p>
    <w:p w:rsidR="007C0E5D" w:rsidRDefault="007C0E5D" w:rsidP="00DB67D1">
      <w:pPr>
        <w:ind w:firstLine="708"/>
        <w:rPr>
          <w:rFonts w:ascii="Arial" w:hAnsi="Arial" w:cs="Arial"/>
          <w:sz w:val="24"/>
        </w:rPr>
      </w:pPr>
      <w:r w:rsidRPr="00ED2577">
        <w:rPr>
          <w:rFonts w:ascii="Arial" w:hAnsi="Arial" w:cs="Arial"/>
          <w:sz w:val="24"/>
        </w:rPr>
        <w:t xml:space="preserve">Este artigo apresenta, além desta seção introdutória, uma seção que apresenta a revisão bibliográfica, seguida pela </w:t>
      </w:r>
      <w:r w:rsidR="00BD7549">
        <w:rPr>
          <w:rFonts w:ascii="Arial" w:hAnsi="Arial" w:cs="Arial"/>
          <w:sz w:val="24"/>
        </w:rPr>
        <w:t xml:space="preserve">base de dados e a </w:t>
      </w:r>
      <w:r w:rsidRPr="00ED2577">
        <w:rPr>
          <w:rFonts w:ascii="Arial" w:hAnsi="Arial" w:cs="Arial"/>
          <w:sz w:val="24"/>
        </w:rPr>
        <w:t>metodologia, uma seção com os resultados observados e, por fim, uma conclusão.</w:t>
      </w:r>
    </w:p>
    <w:p w:rsidR="00E07838" w:rsidRDefault="00E07838" w:rsidP="00DB67D1">
      <w:pPr>
        <w:rPr>
          <w:rStyle w:val="Estilo11ptVermelho"/>
          <w:rFonts w:ascii="Arial" w:hAnsi="Arial" w:cs="Arial"/>
          <w:b/>
          <w:color w:val="auto"/>
          <w:sz w:val="24"/>
        </w:rPr>
      </w:pPr>
    </w:p>
    <w:p w:rsidR="00CD306E" w:rsidRPr="008C6165" w:rsidRDefault="00CD306E" w:rsidP="00DB67D1">
      <w:pPr>
        <w:rPr>
          <w:rStyle w:val="Estilo11ptVermelho"/>
          <w:rFonts w:ascii="Arial" w:hAnsi="Arial" w:cs="Arial"/>
          <w:b/>
          <w:color w:val="auto"/>
          <w:sz w:val="24"/>
        </w:rPr>
      </w:pPr>
      <w:r w:rsidRPr="008C6165">
        <w:rPr>
          <w:rStyle w:val="Estilo11ptVermelho"/>
          <w:rFonts w:ascii="Arial" w:hAnsi="Arial" w:cs="Arial"/>
          <w:b/>
          <w:color w:val="auto"/>
          <w:sz w:val="24"/>
        </w:rPr>
        <w:t>2. REVISÃO BIBLIOGRÁFICA</w:t>
      </w:r>
    </w:p>
    <w:p w:rsidR="003431A6" w:rsidRDefault="00D730D2" w:rsidP="00DB67D1">
      <w:pPr>
        <w:ind w:firstLine="708"/>
        <w:rPr>
          <w:rFonts w:ascii="Arial" w:hAnsi="Arial" w:cs="Arial"/>
          <w:sz w:val="24"/>
        </w:rPr>
      </w:pPr>
      <w:r>
        <w:rPr>
          <w:rFonts w:ascii="Arial" w:hAnsi="Arial" w:cs="Arial"/>
          <w:sz w:val="24"/>
        </w:rPr>
        <w:t xml:space="preserve">Henry </w:t>
      </w:r>
      <w:r w:rsidR="000B36DA" w:rsidRPr="008C6165">
        <w:rPr>
          <w:rFonts w:ascii="Arial" w:hAnsi="Arial" w:cs="Arial"/>
          <w:sz w:val="24"/>
        </w:rPr>
        <w:t>Markowitz</w:t>
      </w:r>
      <w:r w:rsidR="00225697">
        <w:rPr>
          <w:rFonts w:ascii="Arial" w:hAnsi="Arial" w:cs="Arial"/>
          <w:sz w:val="24"/>
        </w:rPr>
        <w:t xml:space="preserve"> (1952)</w:t>
      </w:r>
      <w:r w:rsidR="001C1D9F">
        <w:rPr>
          <w:rFonts w:ascii="Arial" w:hAnsi="Arial" w:cs="Arial"/>
          <w:sz w:val="24"/>
        </w:rPr>
        <w:t xml:space="preserve"> deu iní</w:t>
      </w:r>
      <w:r w:rsidR="000B36DA">
        <w:rPr>
          <w:rFonts w:ascii="Arial" w:hAnsi="Arial" w:cs="Arial"/>
          <w:sz w:val="24"/>
        </w:rPr>
        <w:t xml:space="preserve">cio </w:t>
      </w:r>
      <w:r w:rsidR="0079279D" w:rsidRPr="008C6165">
        <w:rPr>
          <w:rFonts w:ascii="Arial" w:hAnsi="Arial" w:cs="Arial"/>
          <w:sz w:val="24"/>
        </w:rPr>
        <w:t>a chamada moderna teoria de carteiras com a publicação de “</w:t>
      </w:r>
      <w:r w:rsidR="0079279D" w:rsidRPr="008C6165">
        <w:rPr>
          <w:rFonts w:ascii="Arial" w:hAnsi="Arial" w:cs="Arial"/>
          <w:i/>
          <w:sz w:val="24"/>
        </w:rPr>
        <w:t>Portfolio Selection</w:t>
      </w:r>
      <w:r w:rsidR="0079279D" w:rsidRPr="008C6165">
        <w:rPr>
          <w:rFonts w:ascii="Arial" w:hAnsi="Arial" w:cs="Arial"/>
          <w:sz w:val="24"/>
        </w:rPr>
        <w:t>”.</w:t>
      </w:r>
      <w:r w:rsidR="00127486">
        <w:rPr>
          <w:rFonts w:ascii="Arial" w:hAnsi="Arial" w:cs="Arial"/>
          <w:sz w:val="24"/>
        </w:rPr>
        <w:t xml:space="preserve"> </w:t>
      </w:r>
      <w:r w:rsidR="00225697">
        <w:rPr>
          <w:rFonts w:ascii="Arial" w:hAnsi="Arial" w:cs="Arial"/>
          <w:sz w:val="24"/>
        </w:rPr>
        <w:t xml:space="preserve">Nesta publicação </w:t>
      </w:r>
      <w:r w:rsidR="00225697" w:rsidRPr="008C6165">
        <w:rPr>
          <w:rFonts w:ascii="Arial" w:hAnsi="Arial" w:cs="Arial"/>
          <w:sz w:val="24"/>
        </w:rPr>
        <w:t>desenvolveu um m</w:t>
      </w:r>
      <w:r w:rsidR="007D42E7">
        <w:rPr>
          <w:rFonts w:ascii="Arial" w:hAnsi="Arial" w:cs="Arial"/>
          <w:sz w:val="24"/>
        </w:rPr>
        <w:t>étodo que calcula a variância do portfólio</w:t>
      </w:r>
      <w:r w:rsidR="00225697" w:rsidRPr="008C6165">
        <w:rPr>
          <w:rFonts w:ascii="Arial" w:hAnsi="Arial" w:cs="Arial"/>
          <w:sz w:val="24"/>
        </w:rPr>
        <w:t xml:space="preserve"> como resultado da soma da variância dos ativos c</w:t>
      </w:r>
      <w:r w:rsidR="007D42E7">
        <w:rPr>
          <w:rFonts w:ascii="Arial" w:hAnsi="Arial" w:cs="Arial"/>
          <w:sz w:val="24"/>
        </w:rPr>
        <w:t>onsiderando o peso de cada um no portfólio</w:t>
      </w:r>
      <w:r w:rsidR="00225697" w:rsidRPr="008C6165">
        <w:rPr>
          <w:rFonts w:ascii="Arial" w:hAnsi="Arial" w:cs="Arial"/>
          <w:sz w:val="24"/>
        </w:rPr>
        <w:t xml:space="preserve"> e o grau de correlação entre os mesmos. Assim Markowitz define a fronteira eficiente como as combinações de </w:t>
      </w:r>
      <w:r w:rsidR="007D42E7">
        <w:rPr>
          <w:rFonts w:ascii="Arial" w:hAnsi="Arial" w:cs="Arial"/>
          <w:sz w:val="24"/>
        </w:rPr>
        <w:t>ativos</w:t>
      </w:r>
      <w:r w:rsidR="00225697" w:rsidRPr="008C6165">
        <w:rPr>
          <w:rFonts w:ascii="Arial" w:hAnsi="Arial" w:cs="Arial"/>
          <w:sz w:val="24"/>
        </w:rPr>
        <w:t xml:space="preserve"> que maximizam o retorno esperado dada a variância.</w:t>
      </w:r>
    </w:p>
    <w:p w:rsidR="00DB67D1" w:rsidRDefault="00845066" w:rsidP="00DB67D1">
      <w:pPr>
        <w:ind w:firstLine="708"/>
        <w:rPr>
          <w:rStyle w:val="Estilo11ptVermelho"/>
          <w:rFonts w:ascii="Arial" w:hAnsi="Arial" w:cs="Arial"/>
          <w:color w:val="auto"/>
          <w:sz w:val="24"/>
        </w:rPr>
      </w:pPr>
      <w:r w:rsidRPr="00092E46">
        <w:rPr>
          <w:rStyle w:val="Estilo11ptVermelho"/>
          <w:rFonts w:ascii="Arial" w:hAnsi="Arial" w:cs="Arial"/>
          <w:color w:val="auto"/>
          <w:sz w:val="24"/>
        </w:rPr>
        <w:t xml:space="preserve">A versão internacional do modelo de precificação de ativos de capital clássica, com base na teoria do portfólio tradicional desenvolvido por Sharpe (1964) e Lintner (1965), prevê que, para maximizar retornos ajustados ao risco os investidores devem manter </w:t>
      </w:r>
      <w:r w:rsidR="007D42E7">
        <w:rPr>
          <w:rStyle w:val="Estilo11ptVermelho"/>
          <w:rFonts w:ascii="Arial" w:hAnsi="Arial" w:cs="Arial"/>
          <w:color w:val="auto"/>
          <w:sz w:val="24"/>
        </w:rPr>
        <w:t>o portfólio</w:t>
      </w:r>
      <w:r w:rsidRPr="00092E46">
        <w:rPr>
          <w:rStyle w:val="Estilo11ptVermelho"/>
          <w:rFonts w:ascii="Arial" w:hAnsi="Arial" w:cs="Arial"/>
          <w:color w:val="auto"/>
          <w:sz w:val="24"/>
        </w:rPr>
        <w:t xml:space="preserve"> de ativos de risco do mercado mundial.</w:t>
      </w:r>
    </w:p>
    <w:p w:rsidR="003431A6" w:rsidRDefault="00845066" w:rsidP="00DB67D1">
      <w:pPr>
        <w:ind w:firstLine="708"/>
        <w:rPr>
          <w:rStyle w:val="Estilo11ptVermelho"/>
          <w:rFonts w:ascii="Arial" w:hAnsi="Arial" w:cs="Arial"/>
          <w:i/>
          <w:color w:val="auto"/>
          <w:sz w:val="24"/>
        </w:rPr>
      </w:pPr>
      <w:r w:rsidRPr="00092E46">
        <w:rPr>
          <w:rStyle w:val="Estilo11ptVermelho"/>
          <w:rFonts w:ascii="Arial" w:hAnsi="Arial" w:cs="Arial"/>
          <w:color w:val="auto"/>
          <w:sz w:val="24"/>
        </w:rPr>
        <w:t xml:space="preserve">É sabido, no entanto, que os </w:t>
      </w:r>
      <w:r>
        <w:rPr>
          <w:rStyle w:val="Estilo11ptVermelho"/>
          <w:rFonts w:ascii="Arial" w:hAnsi="Arial" w:cs="Arial"/>
          <w:color w:val="auto"/>
          <w:sz w:val="24"/>
        </w:rPr>
        <w:t>portfólios</w:t>
      </w:r>
      <w:r w:rsidRPr="00092E46">
        <w:rPr>
          <w:rStyle w:val="Estilo11ptVermelho"/>
          <w:rFonts w:ascii="Arial" w:hAnsi="Arial" w:cs="Arial"/>
          <w:color w:val="auto"/>
          <w:sz w:val="24"/>
        </w:rPr>
        <w:t xml:space="preserve"> dom</w:t>
      </w:r>
      <w:r>
        <w:rPr>
          <w:rStyle w:val="Estilo11ptVermelho"/>
          <w:rFonts w:ascii="Arial" w:hAnsi="Arial" w:cs="Arial"/>
          <w:color w:val="auto"/>
          <w:sz w:val="24"/>
        </w:rPr>
        <w:t>ésticos são fortemente preferidos nas ponderações</w:t>
      </w:r>
      <w:r w:rsidRPr="00092E46">
        <w:rPr>
          <w:rStyle w:val="Estilo11ptVermelho"/>
          <w:rFonts w:ascii="Arial" w:hAnsi="Arial" w:cs="Arial"/>
          <w:color w:val="auto"/>
          <w:sz w:val="24"/>
        </w:rPr>
        <w:t xml:space="preserve"> dos investidores</w:t>
      </w:r>
      <w:r w:rsidR="00540EE2">
        <w:rPr>
          <w:rStyle w:val="Estilo11ptVermelho"/>
          <w:rFonts w:ascii="Arial" w:hAnsi="Arial" w:cs="Arial"/>
          <w:color w:val="auto"/>
          <w:sz w:val="24"/>
        </w:rPr>
        <w:t xml:space="preserve"> </w:t>
      </w:r>
      <w:r w:rsidR="009C1408">
        <w:rPr>
          <w:rStyle w:val="Estilo11ptVermelho"/>
          <w:rFonts w:ascii="Arial" w:hAnsi="Arial" w:cs="Arial"/>
          <w:color w:val="auto"/>
          <w:sz w:val="24"/>
        </w:rPr>
        <w:t>[</w:t>
      </w:r>
      <w:r w:rsidRPr="00092E46">
        <w:rPr>
          <w:rStyle w:val="Estilo11ptVermelho"/>
          <w:rFonts w:ascii="Arial" w:hAnsi="Arial" w:cs="Arial"/>
          <w:color w:val="auto"/>
          <w:sz w:val="24"/>
        </w:rPr>
        <w:t xml:space="preserve">Cooper e </w:t>
      </w:r>
      <w:r w:rsidR="00140CEA" w:rsidRPr="00092E46">
        <w:rPr>
          <w:rStyle w:val="Estilo11ptVermelho"/>
          <w:rFonts w:ascii="Arial" w:hAnsi="Arial" w:cs="Arial"/>
          <w:color w:val="auto"/>
          <w:sz w:val="24"/>
        </w:rPr>
        <w:t>Kaplains</w:t>
      </w:r>
      <w:r w:rsidR="00140CEA">
        <w:rPr>
          <w:rStyle w:val="Estilo11ptVermelho"/>
          <w:rFonts w:ascii="Arial" w:hAnsi="Arial" w:cs="Arial"/>
          <w:color w:val="auto"/>
          <w:sz w:val="24"/>
        </w:rPr>
        <w:t xml:space="preserve"> </w:t>
      </w:r>
      <w:r w:rsidR="009C1408">
        <w:rPr>
          <w:rStyle w:val="Estilo11ptVermelho"/>
          <w:rFonts w:ascii="Arial" w:hAnsi="Arial" w:cs="Arial"/>
          <w:color w:val="auto"/>
          <w:sz w:val="24"/>
        </w:rPr>
        <w:t>(1994),</w:t>
      </w:r>
      <w:r w:rsidR="003431A6">
        <w:rPr>
          <w:rStyle w:val="Estilo11ptVermelho"/>
          <w:rFonts w:ascii="Arial" w:hAnsi="Arial" w:cs="Arial"/>
          <w:color w:val="auto"/>
          <w:sz w:val="24"/>
        </w:rPr>
        <w:t xml:space="preserve"> </w:t>
      </w:r>
      <w:r w:rsidRPr="00092E46">
        <w:rPr>
          <w:rStyle w:val="Estilo11ptVermelho"/>
          <w:rFonts w:ascii="Arial" w:hAnsi="Arial" w:cs="Arial"/>
          <w:color w:val="auto"/>
          <w:sz w:val="24"/>
        </w:rPr>
        <w:t>Kang e Stulz</w:t>
      </w:r>
      <w:r w:rsidR="009C1408">
        <w:rPr>
          <w:rStyle w:val="Estilo11ptVermelho"/>
          <w:rFonts w:ascii="Arial" w:hAnsi="Arial" w:cs="Arial"/>
          <w:color w:val="auto"/>
          <w:sz w:val="24"/>
        </w:rPr>
        <w:t xml:space="preserve"> (1996)</w:t>
      </w:r>
      <w:r>
        <w:rPr>
          <w:rStyle w:val="Estilo11ptVermelho"/>
          <w:rFonts w:ascii="Arial" w:hAnsi="Arial" w:cs="Arial"/>
          <w:color w:val="auto"/>
          <w:sz w:val="24"/>
        </w:rPr>
        <w:t xml:space="preserve"> e </w:t>
      </w:r>
      <w:r w:rsidRPr="00092E46">
        <w:rPr>
          <w:rStyle w:val="Estilo11ptVermelho"/>
          <w:rFonts w:ascii="Arial" w:hAnsi="Arial" w:cs="Arial"/>
          <w:color w:val="auto"/>
          <w:sz w:val="24"/>
        </w:rPr>
        <w:t>French e Porterba</w:t>
      </w:r>
      <w:r w:rsidR="009C1408">
        <w:rPr>
          <w:rStyle w:val="Estilo11ptVermelho"/>
          <w:rFonts w:ascii="Arial" w:hAnsi="Arial" w:cs="Arial"/>
          <w:color w:val="auto"/>
          <w:sz w:val="24"/>
        </w:rPr>
        <w:t xml:space="preserve"> (1991</w:t>
      </w:r>
      <w:r>
        <w:rPr>
          <w:rStyle w:val="Estilo11ptVermelho"/>
          <w:rFonts w:ascii="Arial" w:hAnsi="Arial" w:cs="Arial"/>
          <w:color w:val="auto"/>
          <w:sz w:val="24"/>
        </w:rPr>
        <w:t>)</w:t>
      </w:r>
      <w:r w:rsidR="009C1408">
        <w:rPr>
          <w:rStyle w:val="Estilo11ptVermelho"/>
          <w:rFonts w:ascii="Arial" w:hAnsi="Arial" w:cs="Arial"/>
          <w:color w:val="auto"/>
          <w:sz w:val="24"/>
        </w:rPr>
        <w:t>]</w:t>
      </w:r>
      <w:r w:rsidR="003431A6">
        <w:rPr>
          <w:rStyle w:val="Estilo11ptVermelho"/>
          <w:rFonts w:ascii="Arial" w:hAnsi="Arial" w:cs="Arial"/>
          <w:color w:val="auto"/>
          <w:sz w:val="24"/>
        </w:rPr>
        <w:t xml:space="preserve"> e o</w:t>
      </w:r>
      <w:r w:rsidRPr="00092E46">
        <w:rPr>
          <w:rStyle w:val="Estilo11ptVermelho"/>
          <w:rFonts w:ascii="Arial" w:hAnsi="Arial" w:cs="Arial"/>
          <w:color w:val="auto"/>
          <w:sz w:val="24"/>
        </w:rPr>
        <w:t xml:space="preserve"> termo usado para descrever este fenômeno</w:t>
      </w:r>
      <w:r w:rsidR="00C40F7D">
        <w:rPr>
          <w:rStyle w:val="Estilo11ptVermelho"/>
          <w:rFonts w:ascii="Arial" w:hAnsi="Arial" w:cs="Arial"/>
          <w:color w:val="auto"/>
          <w:sz w:val="24"/>
        </w:rPr>
        <w:t xml:space="preserve"> </w:t>
      </w:r>
      <w:r w:rsidR="003431A6">
        <w:rPr>
          <w:rStyle w:val="Estilo11ptVermelho"/>
          <w:rFonts w:ascii="Arial" w:hAnsi="Arial" w:cs="Arial"/>
          <w:color w:val="auto"/>
          <w:sz w:val="24"/>
        </w:rPr>
        <w:t xml:space="preserve">é </w:t>
      </w:r>
      <w:r w:rsidRPr="00FF6C3A">
        <w:rPr>
          <w:rStyle w:val="Estilo11ptVermelho"/>
          <w:rFonts w:ascii="Arial" w:hAnsi="Arial" w:cs="Arial"/>
          <w:i/>
          <w:color w:val="auto"/>
          <w:sz w:val="24"/>
        </w:rPr>
        <w:t>Home Bias</w:t>
      </w:r>
      <w:r w:rsidR="003431A6">
        <w:rPr>
          <w:rStyle w:val="Estilo11ptVermelho"/>
          <w:rFonts w:ascii="Arial" w:hAnsi="Arial" w:cs="Arial"/>
          <w:i/>
          <w:color w:val="auto"/>
          <w:sz w:val="24"/>
        </w:rPr>
        <w:t>.</w:t>
      </w:r>
    </w:p>
    <w:p w:rsidR="00C40F7D" w:rsidRDefault="003431A6" w:rsidP="00DB67D1">
      <w:pPr>
        <w:ind w:firstLine="708"/>
        <w:rPr>
          <w:rStyle w:val="Estilo11ptVermelho"/>
          <w:rFonts w:ascii="Arial" w:hAnsi="Arial" w:cs="Arial"/>
          <w:color w:val="auto"/>
          <w:sz w:val="24"/>
        </w:rPr>
      </w:pPr>
      <w:r w:rsidRPr="003431A6">
        <w:rPr>
          <w:rStyle w:val="Estilo11ptVermelho"/>
          <w:rFonts w:ascii="Arial" w:hAnsi="Arial" w:cs="Arial"/>
          <w:color w:val="auto"/>
          <w:sz w:val="24"/>
        </w:rPr>
        <w:t xml:space="preserve">O </w:t>
      </w:r>
      <w:r>
        <w:rPr>
          <w:rStyle w:val="Estilo11ptVermelho"/>
          <w:rFonts w:ascii="Arial" w:hAnsi="Arial" w:cs="Arial"/>
          <w:i/>
          <w:color w:val="auto"/>
          <w:sz w:val="24"/>
        </w:rPr>
        <w:t>Home Bias</w:t>
      </w:r>
      <w:r w:rsidR="00C40F7D">
        <w:rPr>
          <w:rStyle w:val="Estilo11ptVermelho"/>
          <w:rFonts w:ascii="Arial" w:hAnsi="Arial" w:cs="Arial"/>
          <w:color w:val="auto"/>
          <w:sz w:val="24"/>
        </w:rPr>
        <w:t xml:space="preserve"> </w:t>
      </w:r>
      <w:r w:rsidR="00845066" w:rsidRPr="00092E46">
        <w:rPr>
          <w:rStyle w:val="Estilo11ptVermelho"/>
          <w:rFonts w:ascii="Arial" w:hAnsi="Arial" w:cs="Arial"/>
          <w:color w:val="auto"/>
          <w:sz w:val="24"/>
        </w:rPr>
        <w:t xml:space="preserve">sugere que os investidores </w:t>
      </w:r>
      <w:r w:rsidR="00C40F7D">
        <w:rPr>
          <w:rStyle w:val="Estilo11ptVermelho"/>
          <w:rFonts w:ascii="Arial" w:hAnsi="Arial" w:cs="Arial"/>
          <w:color w:val="auto"/>
          <w:sz w:val="24"/>
        </w:rPr>
        <w:t>podem ser</w:t>
      </w:r>
      <w:r w:rsidR="00845066" w:rsidRPr="00092E46">
        <w:rPr>
          <w:rStyle w:val="Estilo11ptVermelho"/>
          <w:rFonts w:ascii="Arial" w:hAnsi="Arial" w:cs="Arial"/>
          <w:color w:val="auto"/>
          <w:sz w:val="24"/>
        </w:rPr>
        <w:t xml:space="preserve"> </w:t>
      </w:r>
      <w:r>
        <w:rPr>
          <w:rStyle w:val="Estilo11ptVermelho"/>
          <w:rFonts w:ascii="Arial" w:hAnsi="Arial" w:cs="Arial"/>
          <w:color w:val="auto"/>
          <w:sz w:val="24"/>
        </w:rPr>
        <w:t xml:space="preserve">racionais, uma vez que consigam maximizar seus retornos por conta de uma melhor analise das empresas ou por conta de informações privilegiadas destas. Também sugere que os investidores podem ser </w:t>
      </w:r>
      <w:r w:rsidR="00845066" w:rsidRPr="00092E46">
        <w:rPr>
          <w:rStyle w:val="Estilo11ptVermelho"/>
          <w:rFonts w:ascii="Arial" w:hAnsi="Arial" w:cs="Arial"/>
          <w:color w:val="auto"/>
          <w:sz w:val="24"/>
        </w:rPr>
        <w:t>irracionais</w:t>
      </w:r>
      <w:r>
        <w:rPr>
          <w:rStyle w:val="Estilo11ptVermelho"/>
          <w:rFonts w:ascii="Arial" w:hAnsi="Arial" w:cs="Arial"/>
          <w:color w:val="auto"/>
          <w:sz w:val="24"/>
        </w:rPr>
        <w:t xml:space="preserve"> quando estes</w:t>
      </w:r>
      <w:r w:rsidR="00845066" w:rsidRPr="00092E46">
        <w:rPr>
          <w:rStyle w:val="Estilo11ptVermelho"/>
          <w:rFonts w:ascii="Arial" w:hAnsi="Arial" w:cs="Arial"/>
          <w:color w:val="auto"/>
          <w:sz w:val="24"/>
        </w:rPr>
        <w:t xml:space="preserve"> e</w:t>
      </w:r>
      <w:r w:rsidR="00845066">
        <w:rPr>
          <w:rStyle w:val="Estilo11ptVermelho"/>
          <w:rFonts w:ascii="Arial" w:hAnsi="Arial" w:cs="Arial"/>
          <w:color w:val="auto"/>
          <w:sz w:val="24"/>
        </w:rPr>
        <w:t xml:space="preserve">vitam </w:t>
      </w:r>
      <w:r w:rsidR="008258BD">
        <w:rPr>
          <w:rStyle w:val="Estilo11ptVermelho"/>
          <w:rFonts w:ascii="Arial" w:hAnsi="Arial" w:cs="Arial"/>
          <w:color w:val="auto"/>
          <w:sz w:val="24"/>
        </w:rPr>
        <w:t xml:space="preserve">os </w:t>
      </w:r>
      <w:r w:rsidR="00845066">
        <w:rPr>
          <w:rStyle w:val="Estilo11ptVermelho"/>
          <w:rFonts w:ascii="Arial" w:hAnsi="Arial" w:cs="Arial"/>
          <w:color w:val="auto"/>
          <w:sz w:val="24"/>
        </w:rPr>
        <w:t>ganhos potenciais d</w:t>
      </w:r>
      <w:r w:rsidR="00C40F7D">
        <w:rPr>
          <w:rStyle w:val="Estilo11ptVermelho"/>
          <w:rFonts w:ascii="Arial" w:hAnsi="Arial" w:cs="Arial"/>
          <w:color w:val="auto"/>
          <w:sz w:val="24"/>
        </w:rPr>
        <w:t>a diversificação</w:t>
      </w:r>
      <w:r>
        <w:rPr>
          <w:rStyle w:val="Estilo11ptVermelho"/>
          <w:rFonts w:ascii="Arial" w:hAnsi="Arial" w:cs="Arial"/>
          <w:color w:val="auto"/>
          <w:sz w:val="24"/>
        </w:rPr>
        <w:t>.</w:t>
      </w:r>
      <w:r w:rsidR="00C40F7D">
        <w:rPr>
          <w:rStyle w:val="Estilo11ptVermelho"/>
          <w:rFonts w:ascii="Arial" w:hAnsi="Arial" w:cs="Arial"/>
          <w:color w:val="auto"/>
          <w:sz w:val="24"/>
        </w:rPr>
        <w:t xml:space="preserve"> </w:t>
      </w:r>
    </w:p>
    <w:p w:rsidR="005718EF" w:rsidRDefault="005718EF" w:rsidP="005718EF">
      <w:pPr>
        <w:ind w:firstLine="708"/>
        <w:rPr>
          <w:rStyle w:val="Estilo11ptVermelho"/>
          <w:rFonts w:ascii="Arial" w:hAnsi="Arial" w:cs="Arial"/>
          <w:color w:val="auto"/>
          <w:sz w:val="24"/>
        </w:rPr>
      </w:pPr>
      <w:r w:rsidRPr="00092E46">
        <w:rPr>
          <w:rStyle w:val="Estilo11ptVermelho"/>
          <w:rFonts w:ascii="Arial" w:hAnsi="Arial" w:cs="Arial"/>
          <w:color w:val="auto"/>
          <w:sz w:val="24"/>
        </w:rPr>
        <w:t>Goetzmann e Kumar</w:t>
      </w:r>
      <w:r>
        <w:rPr>
          <w:rStyle w:val="Estilo11ptVermelho"/>
          <w:rFonts w:ascii="Arial" w:hAnsi="Arial" w:cs="Arial"/>
          <w:color w:val="auto"/>
          <w:sz w:val="24"/>
        </w:rPr>
        <w:t xml:space="preserve"> (</w:t>
      </w:r>
      <w:r w:rsidRPr="00092E46">
        <w:rPr>
          <w:rStyle w:val="Estilo11ptVermelho"/>
          <w:rFonts w:ascii="Arial" w:hAnsi="Arial" w:cs="Arial"/>
          <w:color w:val="auto"/>
          <w:sz w:val="24"/>
        </w:rPr>
        <w:t>2001</w:t>
      </w:r>
      <w:r>
        <w:rPr>
          <w:rStyle w:val="Estilo11ptVermelho"/>
          <w:rFonts w:ascii="Arial" w:hAnsi="Arial" w:cs="Arial"/>
          <w:color w:val="auto"/>
          <w:sz w:val="24"/>
        </w:rPr>
        <w:t>)</w:t>
      </w:r>
      <w:r w:rsidRPr="00092E46">
        <w:rPr>
          <w:rStyle w:val="Estilo11ptVermelho"/>
          <w:rFonts w:ascii="Arial" w:hAnsi="Arial" w:cs="Arial"/>
          <w:color w:val="auto"/>
          <w:sz w:val="24"/>
        </w:rPr>
        <w:t xml:space="preserve"> acharam que a grande maioria dos investidores está</w:t>
      </w:r>
      <w:r>
        <w:rPr>
          <w:rStyle w:val="Estilo11ptVermelho"/>
          <w:rFonts w:ascii="Arial" w:hAnsi="Arial" w:cs="Arial"/>
          <w:color w:val="auto"/>
          <w:sz w:val="24"/>
        </w:rPr>
        <w:t xml:space="preserve"> com </w:t>
      </w:r>
      <w:r w:rsidR="008258BD">
        <w:rPr>
          <w:rStyle w:val="Estilo11ptVermelho"/>
          <w:rFonts w:ascii="Arial" w:hAnsi="Arial" w:cs="Arial"/>
          <w:color w:val="auto"/>
          <w:sz w:val="24"/>
        </w:rPr>
        <w:t xml:space="preserve">seus </w:t>
      </w:r>
      <w:r>
        <w:rPr>
          <w:rStyle w:val="Estilo11ptVermelho"/>
          <w:rFonts w:ascii="Arial" w:hAnsi="Arial" w:cs="Arial"/>
          <w:color w:val="auto"/>
          <w:sz w:val="24"/>
        </w:rPr>
        <w:t xml:space="preserve">portfólios sub diversificados e que </w:t>
      </w:r>
      <w:r w:rsidRPr="00092E46">
        <w:rPr>
          <w:rStyle w:val="Estilo11ptVermelho"/>
          <w:rFonts w:ascii="Arial" w:hAnsi="Arial" w:cs="Arial"/>
          <w:color w:val="auto"/>
          <w:sz w:val="24"/>
        </w:rPr>
        <w:t>os investidores adota</w:t>
      </w:r>
      <w:r>
        <w:rPr>
          <w:rStyle w:val="Estilo11ptVermelho"/>
          <w:rFonts w:ascii="Arial" w:hAnsi="Arial" w:cs="Arial"/>
          <w:color w:val="auto"/>
          <w:sz w:val="24"/>
        </w:rPr>
        <w:t xml:space="preserve">m uma estratégia </w:t>
      </w:r>
      <w:r>
        <w:rPr>
          <w:rStyle w:val="Estilo11ptVermelho"/>
          <w:rFonts w:ascii="Arial" w:hAnsi="Arial" w:cs="Arial"/>
          <w:color w:val="auto"/>
          <w:sz w:val="24"/>
        </w:rPr>
        <w:lastRenderedPageBreak/>
        <w:t>“ingênua”</w:t>
      </w:r>
      <w:r w:rsidRPr="00092E46">
        <w:rPr>
          <w:rStyle w:val="Estilo11ptVermelho"/>
          <w:rFonts w:ascii="Arial" w:hAnsi="Arial" w:cs="Arial"/>
          <w:color w:val="auto"/>
          <w:sz w:val="24"/>
        </w:rPr>
        <w:t xml:space="preserve"> de diversificação</w:t>
      </w:r>
      <w:r>
        <w:rPr>
          <w:rStyle w:val="Estilo11ptVermelho"/>
          <w:rFonts w:ascii="Arial" w:hAnsi="Arial" w:cs="Arial"/>
          <w:color w:val="auto"/>
          <w:sz w:val="24"/>
        </w:rPr>
        <w:t>, uma vez que estejam</w:t>
      </w:r>
      <w:r w:rsidRPr="00092E46">
        <w:rPr>
          <w:rStyle w:val="Estilo11ptVermelho"/>
          <w:rFonts w:ascii="Arial" w:hAnsi="Arial" w:cs="Arial"/>
          <w:color w:val="auto"/>
          <w:sz w:val="24"/>
        </w:rPr>
        <w:t xml:space="preserve"> conscientes dos benefícios de</w:t>
      </w:r>
      <w:r>
        <w:rPr>
          <w:rStyle w:val="Estilo11ptVermelho"/>
          <w:rFonts w:ascii="Arial" w:hAnsi="Arial" w:cs="Arial"/>
          <w:color w:val="auto"/>
          <w:sz w:val="24"/>
        </w:rPr>
        <w:t>sta. Além disso, os investidores mantê</w:t>
      </w:r>
      <w:r w:rsidRPr="00092E46">
        <w:rPr>
          <w:rStyle w:val="Estilo11ptVermelho"/>
          <w:rFonts w:ascii="Arial" w:hAnsi="Arial" w:cs="Arial"/>
          <w:color w:val="auto"/>
          <w:sz w:val="24"/>
        </w:rPr>
        <w:t xml:space="preserve">m </w:t>
      </w:r>
      <w:r>
        <w:rPr>
          <w:rStyle w:val="Estilo11ptVermelho"/>
          <w:rFonts w:ascii="Arial" w:hAnsi="Arial" w:cs="Arial"/>
          <w:color w:val="auto"/>
          <w:sz w:val="24"/>
        </w:rPr>
        <w:t xml:space="preserve">portfólios </w:t>
      </w:r>
      <w:r w:rsidRPr="00092E46">
        <w:rPr>
          <w:rStyle w:val="Estilo11ptVermelho"/>
          <w:rFonts w:ascii="Arial" w:hAnsi="Arial" w:cs="Arial"/>
          <w:color w:val="auto"/>
          <w:sz w:val="24"/>
        </w:rPr>
        <w:t>s</w:t>
      </w:r>
      <w:r>
        <w:rPr>
          <w:rStyle w:val="Estilo11ptVermelho"/>
          <w:rFonts w:ascii="Arial" w:hAnsi="Arial" w:cs="Arial"/>
          <w:color w:val="auto"/>
          <w:sz w:val="24"/>
        </w:rPr>
        <w:t xml:space="preserve">ub diversificados, também </w:t>
      </w:r>
      <w:r w:rsidRPr="00092E46">
        <w:rPr>
          <w:rStyle w:val="Estilo11ptVermelho"/>
          <w:rFonts w:ascii="Arial" w:hAnsi="Arial" w:cs="Arial"/>
          <w:color w:val="auto"/>
          <w:sz w:val="24"/>
        </w:rPr>
        <w:t>devido a uma sensação ilusória de controle que os torna excessivamente confiantes.</w:t>
      </w:r>
    </w:p>
    <w:p w:rsidR="003431A6" w:rsidRDefault="005718EF" w:rsidP="005718EF">
      <w:pPr>
        <w:ind w:firstLine="708"/>
        <w:rPr>
          <w:rStyle w:val="Estilo11ptVermelho"/>
          <w:rFonts w:ascii="Arial" w:hAnsi="Arial" w:cs="Arial"/>
          <w:color w:val="auto"/>
          <w:sz w:val="24"/>
        </w:rPr>
      </w:pPr>
      <w:r>
        <w:rPr>
          <w:rStyle w:val="Estilo11ptVermelho"/>
          <w:rFonts w:ascii="Arial" w:hAnsi="Arial" w:cs="Arial"/>
          <w:color w:val="auto"/>
          <w:sz w:val="24"/>
        </w:rPr>
        <w:t xml:space="preserve">Esta sensação de controle também foi descrita por </w:t>
      </w:r>
      <w:r w:rsidR="003431A6" w:rsidRPr="00092E46">
        <w:rPr>
          <w:rStyle w:val="Estilo11ptVermelho"/>
          <w:rFonts w:ascii="Arial" w:hAnsi="Arial" w:cs="Arial"/>
          <w:color w:val="auto"/>
          <w:sz w:val="24"/>
        </w:rPr>
        <w:t>Merton (1987)</w:t>
      </w:r>
      <w:r w:rsidR="008258BD">
        <w:rPr>
          <w:rStyle w:val="Estilo11ptVermelho"/>
          <w:rFonts w:ascii="Arial" w:hAnsi="Arial" w:cs="Arial"/>
          <w:color w:val="auto"/>
          <w:sz w:val="24"/>
        </w:rPr>
        <w:t>,</w:t>
      </w:r>
      <w:r w:rsidR="003431A6">
        <w:rPr>
          <w:rStyle w:val="Estilo11ptVermelho"/>
          <w:rFonts w:ascii="Arial" w:hAnsi="Arial" w:cs="Arial"/>
          <w:color w:val="auto"/>
          <w:sz w:val="24"/>
        </w:rPr>
        <w:t xml:space="preserve"> </w:t>
      </w:r>
      <w:r w:rsidR="008258BD">
        <w:rPr>
          <w:rStyle w:val="Estilo11ptVermelho"/>
          <w:rFonts w:ascii="Arial" w:hAnsi="Arial" w:cs="Arial"/>
          <w:color w:val="auto"/>
          <w:sz w:val="24"/>
        </w:rPr>
        <w:t>onde</w:t>
      </w:r>
      <w:r>
        <w:rPr>
          <w:rStyle w:val="Estilo11ptVermelho"/>
          <w:rFonts w:ascii="Arial" w:hAnsi="Arial" w:cs="Arial"/>
          <w:color w:val="auto"/>
          <w:sz w:val="24"/>
        </w:rPr>
        <w:t xml:space="preserve"> </w:t>
      </w:r>
      <w:r w:rsidR="003431A6" w:rsidRPr="00092E46">
        <w:rPr>
          <w:rStyle w:val="Estilo11ptVermelho"/>
          <w:rFonts w:ascii="Arial" w:hAnsi="Arial" w:cs="Arial"/>
          <w:color w:val="auto"/>
          <w:sz w:val="24"/>
        </w:rPr>
        <w:t xml:space="preserve">sugere que devido </w:t>
      </w:r>
      <w:r w:rsidR="003431A6">
        <w:rPr>
          <w:rStyle w:val="Estilo11ptVermelho"/>
          <w:rFonts w:ascii="Arial" w:hAnsi="Arial" w:cs="Arial"/>
          <w:color w:val="auto"/>
          <w:sz w:val="24"/>
        </w:rPr>
        <w:t>ao custo de pesquisa</w:t>
      </w:r>
      <w:r w:rsidR="003431A6" w:rsidRPr="00092E46">
        <w:rPr>
          <w:rStyle w:val="Estilo11ptVermelho"/>
          <w:rFonts w:ascii="Arial" w:hAnsi="Arial" w:cs="Arial"/>
          <w:color w:val="auto"/>
          <w:sz w:val="24"/>
        </w:rPr>
        <w:t xml:space="preserve"> e monitoramento</w:t>
      </w:r>
      <w:r w:rsidR="003431A6">
        <w:rPr>
          <w:rStyle w:val="Estilo11ptVermelho"/>
          <w:rFonts w:ascii="Arial" w:hAnsi="Arial" w:cs="Arial"/>
          <w:color w:val="auto"/>
          <w:sz w:val="24"/>
        </w:rPr>
        <w:t xml:space="preserve">, os </w:t>
      </w:r>
      <w:r w:rsidR="003431A6" w:rsidRPr="00092E46">
        <w:rPr>
          <w:rStyle w:val="Estilo11ptVermelho"/>
          <w:rFonts w:ascii="Arial" w:hAnsi="Arial" w:cs="Arial"/>
          <w:color w:val="auto"/>
          <w:sz w:val="24"/>
        </w:rPr>
        <w:t>investidores podem limitar o número de ações em s</w:t>
      </w:r>
      <w:r w:rsidR="003431A6">
        <w:rPr>
          <w:rStyle w:val="Estilo11ptVermelho"/>
          <w:rFonts w:ascii="Arial" w:hAnsi="Arial" w:cs="Arial"/>
          <w:color w:val="auto"/>
          <w:sz w:val="24"/>
        </w:rPr>
        <w:t>eus portfólios</w:t>
      </w:r>
      <w:r w:rsidR="003431A6" w:rsidRPr="00092E46">
        <w:rPr>
          <w:rStyle w:val="Estilo11ptVermelho"/>
          <w:rFonts w:ascii="Arial" w:hAnsi="Arial" w:cs="Arial"/>
          <w:color w:val="auto"/>
          <w:sz w:val="24"/>
        </w:rPr>
        <w:t xml:space="preserve">. </w:t>
      </w:r>
    </w:p>
    <w:p w:rsidR="005718EF" w:rsidRDefault="005718EF" w:rsidP="00C40F7D">
      <w:pPr>
        <w:ind w:firstLine="708"/>
        <w:rPr>
          <w:rFonts w:ascii="Arial" w:hAnsi="Arial" w:cs="Arial"/>
          <w:sz w:val="24"/>
        </w:rPr>
      </w:pPr>
      <w:r>
        <w:rPr>
          <w:rFonts w:ascii="Arial" w:hAnsi="Arial" w:cs="Arial"/>
          <w:color w:val="222222"/>
          <w:sz w:val="24"/>
          <w:lang w:eastAsia="pt-BR"/>
        </w:rPr>
        <w:t xml:space="preserve">Já o excesso de confiança </w:t>
      </w:r>
      <w:r>
        <w:rPr>
          <w:rStyle w:val="Estilo11ptVermelho"/>
          <w:rFonts w:ascii="Arial" w:hAnsi="Arial" w:cs="Arial"/>
          <w:color w:val="auto"/>
          <w:sz w:val="24"/>
        </w:rPr>
        <w:t>afeta</w:t>
      </w:r>
      <w:r w:rsidRPr="005A0951">
        <w:rPr>
          <w:rStyle w:val="Estilo11ptVermelho"/>
          <w:rFonts w:ascii="Arial" w:hAnsi="Arial" w:cs="Arial"/>
          <w:color w:val="auto"/>
          <w:sz w:val="24"/>
        </w:rPr>
        <w:t xml:space="preserve"> a decisão de investimento com a tendência </w:t>
      </w:r>
      <w:r>
        <w:rPr>
          <w:rStyle w:val="Estilo11ptVermelho"/>
          <w:rFonts w:ascii="Arial" w:hAnsi="Arial" w:cs="Arial"/>
          <w:color w:val="auto"/>
          <w:sz w:val="24"/>
        </w:rPr>
        <w:t xml:space="preserve">de </w:t>
      </w:r>
      <w:r w:rsidRPr="005A0951">
        <w:rPr>
          <w:rStyle w:val="Estilo11ptVermelho"/>
          <w:rFonts w:ascii="Arial" w:hAnsi="Arial" w:cs="Arial"/>
          <w:color w:val="auto"/>
          <w:sz w:val="24"/>
        </w:rPr>
        <w:t>se investir em um pequeno grupo de ações</w:t>
      </w:r>
      <w:r>
        <w:rPr>
          <w:rStyle w:val="Estilo11ptVermelho"/>
          <w:rFonts w:ascii="Arial" w:hAnsi="Arial" w:cs="Arial"/>
          <w:color w:val="auto"/>
          <w:sz w:val="24"/>
        </w:rPr>
        <w:t>,</w:t>
      </w:r>
      <w:r w:rsidRPr="005A0951">
        <w:rPr>
          <w:rStyle w:val="Estilo11ptVermelho"/>
          <w:rFonts w:ascii="Arial" w:hAnsi="Arial" w:cs="Arial"/>
          <w:color w:val="auto"/>
          <w:sz w:val="24"/>
        </w:rPr>
        <w:t xml:space="preserve"> que o investidor considera familiar ou confiável, embora não esteja necessariamente informado sobre elas</w:t>
      </w:r>
      <w:r>
        <w:rPr>
          <w:rStyle w:val="Estilo11ptVermelho"/>
          <w:rFonts w:ascii="Arial" w:hAnsi="Arial" w:cs="Arial"/>
          <w:color w:val="auto"/>
          <w:sz w:val="24"/>
        </w:rPr>
        <w:t xml:space="preserve"> [Ivkovic, Sialm e Weisbenner (2004)]</w:t>
      </w:r>
      <w:r w:rsidRPr="005A0951">
        <w:rPr>
          <w:rStyle w:val="Estilo11ptVermelho"/>
          <w:rFonts w:ascii="Arial" w:hAnsi="Arial" w:cs="Arial"/>
          <w:color w:val="auto"/>
          <w:sz w:val="24"/>
        </w:rPr>
        <w:t>.</w:t>
      </w:r>
      <w:r>
        <w:rPr>
          <w:rStyle w:val="Estilo11ptVermelho"/>
          <w:rFonts w:ascii="Arial" w:hAnsi="Arial" w:cs="Arial"/>
          <w:color w:val="auto"/>
          <w:sz w:val="24"/>
        </w:rPr>
        <w:t xml:space="preserve"> Este comportamento, segundo Hwang</w:t>
      </w:r>
      <w:r w:rsidRPr="005A0951">
        <w:rPr>
          <w:rStyle w:val="Estilo11ptVermelho"/>
          <w:rFonts w:ascii="Arial" w:hAnsi="Arial" w:cs="Arial"/>
          <w:color w:val="auto"/>
          <w:sz w:val="24"/>
        </w:rPr>
        <w:t>e Satchell</w:t>
      </w:r>
      <w:r>
        <w:rPr>
          <w:rStyle w:val="Estilo11ptVermelho"/>
          <w:rFonts w:ascii="Arial" w:hAnsi="Arial" w:cs="Arial"/>
          <w:color w:val="auto"/>
          <w:sz w:val="24"/>
        </w:rPr>
        <w:t xml:space="preserve"> (</w:t>
      </w:r>
      <w:r w:rsidRPr="005A0951">
        <w:rPr>
          <w:rStyle w:val="Estilo11ptVermelho"/>
          <w:rFonts w:ascii="Arial" w:hAnsi="Arial" w:cs="Arial"/>
          <w:color w:val="auto"/>
          <w:sz w:val="24"/>
        </w:rPr>
        <w:t>2013</w:t>
      </w:r>
      <w:r>
        <w:rPr>
          <w:rStyle w:val="Estilo11ptVermelho"/>
          <w:rFonts w:ascii="Arial" w:hAnsi="Arial" w:cs="Arial"/>
          <w:color w:val="auto"/>
          <w:sz w:val="24"/>
        </w:rPr>
        <w:t>)</w:t>
      </w:r>
      <w:r w:rsidRPr="005A0951">
        <w:rPr>
          <w:rStyle w:val="Estilo11ptVermelho"/>
          <w:rFonts w:ascii="Arial" w:hAnsi="Arial" w:cs="Arial"/>
          <w:color w:val="auto"/>
          <w:sz w:val="24"/>
        </w:rPr>
        <w:t>, teria um enorme impacto sobre a alocação de ativos ideal.</w:t>
      </w:r>
    </w:p>
    <w:p w:rsidR="00C40F7D" w:rsidRDefault="005718EF" w:rsidP="00C40F7D">
      <w:pPr>
        <w:ind w:firstLine="708"/>
        <w:rPr>
          <w:rFonts w:ascii="Arial" w:hAnsi="Arial" w:cs="Arial"/>
          <w:sz w:val="24"/>
        </w:rPr>
      </w:pPr>
      <w:r>
        <w:rPr>
          <w:rFonts w:ascii="Arial" w:hAnsi="Arial" w:cs="Arial"/>
          <w:sz w:val="24"/>
        </w:rPr>
        <w:t>M</w:t>
      </w:r>
      <w:r w:rsidR="00C40F7D" w:rsidRPr="000526A5">
        <w:rPr>
          <w:rFonts w:ascii="Arial" w:hAnsi="Arial" w:cs="Arial"/>
          <w:sz w:val="24"/>
        </w:rPr>
        <w:t xml:space="preserve">anter poucas ações em </w:t>
      </w:r>
      <w:r w:rsidR="00C40F7D">
        <w:rPr>
          <w:rFonts w:ascii="Arial" w:hAnsi="Arial" w:cs="Arial"/>
          <w:sz w:val="24"/>
        </w:rPr>
        <w:t>um portfólio</w:t>
      </w:r>
      <w:r w:rsidR="00C40F7D" w:rsidRPr="000526A5">
        <w:rPr>
          <w:rFonts w:ascii="Arial" w:hAnsi="Arial" w:cs="Arial"/>
          <w:sz w:val="24"/>
        </w:rPr>
        <w:t xml:space="preserve"> </w:t>
      </w:r>
      <w:r w:rsidR="008258BD">
        <w:rPr>
          <w:rFonts w:ascii="Arial" w:hAnsi="Arial" w:cs="Arial"/>
          <w:sz w:val="24"/>
        </w:rPr>
        <w:t>pode expor</w:t>
      </w:r>
      <w:r w:rsidR="00C40F7D" w:rsidRPr="000526A5">
        <w:rPr>
          <w:rFonts w:ascii="Arial" w:hAnsi="Arial" w:cs="Arial"/>
          <w:sz w:val="24"/>
        </w:rPr>
        <w:t xml:space="preserve"> o investidor a um risco idiossincrático desnecessário. Já se manter muitas, o custo de transação e o custo de oportunidade de se acompanhar </w:t>
      </w:r>
      <w:r w:rsidR="008258BD">
        <w:rPr>
          <w:rFonts w:ascii="Arial" w:hAnsi="Arial" w:cs="Arial"/>
          <w:sz w:val="24"/>
        </w:rPr>
        <w:t>as</w:t>
      </w:r>
      <w:r w:rsidR="00C40F7D" w:rsidRPr="000526A5">
        <w:rPr>
          <w:rFonts w:ascii="Arial" w:hAnsi="Arial" w:cs="Arial"/>
          <w:sz w:val="24"/>
        </w:rPr>
        <w:t xml:space="preserve"> empresas aumenta as chances de ele ter um desempenho inferior.</w:t>
      </w:r>
      <w:r>
        <w:rPr>
          <w:rFonts w:ascii="Arial" w:hAnsi="Arial" w:cs="Arial"/>
          <w:sz w:val="24"/>
        </w:rPr>
        <w:t xml:space="preserve"> </w:t>
      </w:r>
      <w:r w:rsidR="00C40F7D" w:rsidRPr="000526A5">
        <w:rPr>
          <w:rFonts w:ascii="Arial" w:hAnsi="Arial" w:cs="Arial"/>
          <w:sz w:val="24"/>
        </w:rPr>
        <w:t>Assim, investidores preocupad</w:t>
      </w:r>
      <w:r w:rsidR="00C40F7D">
        <w:rPr>
          <w:rFonts w:ascii="Arial" w:hAnsi="Arial" w:cs="Arial"/>
          <w:sz w:val="24"/>
        </w:rPr>
        <w:t>o</w:t>
      </w:r>
      <w:r w:rsidR="00C40F7D" w:rsidRPr="000526A5">
        <w:rPr>
          <w:rFonts w:ascii="Arial" w:hAnsi="Arial" w:cs="Arial"/>
          <w:sz w:val="24"/>
        </w:rPr>
        <w:t>s com um risco extremo podem conseguir os benefícios da diversificação com um n</w:t>
      </w:r>
      <w:r w:rsidR="00C40F7D">
        <w:rPr>
          <w:rFonts w:ascii="Arial" w:hAnsi="Arial" w:cs="Arial"/>
          <w:sz w:val="24"/>
        </w:rPr>
        <w:t>ú</w:t>
      </w:r>
      <w:r w:rsidR="00C40F7D" w:rsidRPr="000526A5">
        <w:rPr>
          <w:rFonts w:ascii="Arial" w:hAnsi="Arial" w:cs="Arial"/>
          <w:sz w:val="24"/>
        </w:rPr>
        <w:t>mero relativamente pequeno de ações</w:t>
      </w:r>
      <w:r>
        <w:rPr>
          <w:rFonts w:ascii="Arial" w:hAnsi="Arial" w:cs="Arial"/>
          <w:sz w:val="24"/>
        </w:rPr>
        <w:t xml:space="preserve"> [</w:t>
      </w:r>
      <w:r w:rsidRPr="000526A5">
        <w:rPr>
          <w:rFonts w:ascii="Arial" w:hAnsi="Arial" w:cs="Arial"/>
          <w:sz w:val="24"/>
        </w:rPr>
        <w:t>Alexeev e Tapon</w:t>
      </w:r>
      <w:r>
        <w:rPr>
          <w:rFonts w:ascii="Arial" w:hAnsi="Arial" w:cs="Arial"/>
          <w:sz w:val="24"/>
        </w:rPr>
        <w:t xml:space="preserve"> (2013)].</w:t>
      </w:r>
    </w:p>
    <w:p w:rsidR="00C40F7D" w:rsidRDefault="00A7550B" w:rsidP="00DB67D1">
      <w:pPr>
        <w:ind w:firstLine="708"/>
        <w:rPr>
          <w:rStyle w:val="Estilo11ptVermelho"/>
          <w:rFonts w:ascii="Arial" w:hAnsi="Arial" w:cs="Arial"/>
          <w:color w:val="auto"/>
          <w:sz w:val="24"/>
        </w:rPr>
      </w:pPr>
      <w:r>
        <w:rPr>
          <w:rFonts w:ascii="Arial" w:hAnsi="Arial" w:cs="Arial"/>
          <w:sz w:val="24"/>
        </w:rPr>
        <w:t xml:space="preserve">Além disso, </w:t>
      </w:r>
      <w:r w:rsidR="008258BD">
        <w:rPr>
          <w:rFonts w:ascii="Arial" w:hAnsi="Arial" w:cs="Arial"/>
          <w:sz w:val="24"/>
        </w:rPr>
        <w:t xml:space="preserve">em </w:t>
      </w:r>
      <w:r>
        <w:rPr>
          <w:rFonts w:ascii="Arial" w:hAnsi="Arial" w:cs="Arial"/>
          <w:sz w:val="24"/>
        </w:rPr>
        <w:t xml:space="preserve">contraponto a irracionalidade do </w:t>
      </w:r>
      <w:r>
        <w:rPr>
          <w:rFonts w:ascii="Arial" w:hAnsi="Arial" w:cs="Arial"/>
          <w:i/>
          <w:sz w:val="24"/>
        </w:rPr>
        <w:t xml:space="preserve">Home Bias, </w:t>
      </w:r>
      <w:r>
        <w:rPr>
          <w:rFonts w:ascii="Arial" w:hAnsi="Arial" w:cs="Arial"/>
          <w:sz w:val="24"/>
        </w:rPr>
        <w:t>o</w:t>
      </w:r>
      <w:r w:rsidR="005718EF">
        <w:rPr>
          <w:rFonts w:ascii="Arial" w:hAnsi="Arial" w:cs="Arial"/>
          <w:sz w:val="24"/>
        </w:rPr>
        <w:t xml:space="preserve"> viés da </w:t>
      </w:r>
      <w:r w:rsidR="005718EF" w:rsidRPr="000526A5">
        <w:rPr>
          <w:rFonts w:ascii="Arial" w:hAnsi="Arial" w:cs="Arial"/>
          <w:sz w:val="24"/>
        </w:rPr>
        <w:t>familiaridade</w:t>
      </w:r>
      <w:r w:rsidR="005718EF">
        <w:rPr>
          <w:rFonts w:ascii="Arial" w:hAnsi="Arial" w:cs="Arial"/>
          <w:sz w:val="24"/>
        </w:rPr>
        <w:t xml:space="preserve"> </w:t>
      </w:r>
      <w:r w:rsidR="005718EF" w:rsidRPr="000526A5">
        <w:rPr>
          <w:rFonts w:ascii="Arial" w:hAnsi="Arial" w:cs="Arial"/>
          <w:sz w:val="24"/>
        </w:rPr>
        <w:t>faz</w:t>
      </w:r>
      <w:r>
        <w:rPr>
          <w:rFonts w:ascii="Arial" w:hAnsi="Arial" w:cs="Arial"/>
          <w:sz w:val="24"/>
        </w:rPr>
        <w:t xml:space="preserve"> com que o</w:t>
      </w:r>
      <w:r w:rsidR="005718EF" w:rsidRPr="000526A5">
        <w:rPr>
          <w:rFonts w:ascii="Arial" w:hAnsi="Arial" w:cs="Arial"/>
          <w:sz w:val="24"/>
        </w:rPr>
        <w:t xml:space="preserve">s </w:t>
      </w:r>
      <w:r>
        <w:rPr>
          <w:rFonts w:ascii="Arial" w:hAnsi="Arial" w:cs="Arial"/>
          <w:sz w:val="24"/>
        </w:rPr>
        <w:t>indivíduos</w:t>
      </w:r>
      <w:r w:rsidR="005718EF" w:rsidRPr="000526A5">
        <w:rPr>
          <w:rFonts w:ascii="Arial" w:hAnsi="Arial" w:cs="Arial"/>
          <w:sz w:val="24"/>
        </w:rPr>
        <w:t xml:space="preserve"> </w:t>
      </w:r>
      <w:r w:rsidR="005718EF">
        <w:rPr>
          <w:rFonts w:ascii="Arial" w:hAnsi="Arial" w:cs="Arial"/>
          <w:sz w:val="24"/>
        </w:rPr>
        <w:t>p</w:t>
      </w:r>
      <w:r>
        <w:rPr>
          <w:rFonts w:ascii="Arial" w:hAnsi="Arial" w:cs="Arial"/>
          <w:sz w:val="24"/>
        </w:rPr>
        <w:t>referiam</w:t>
      </w:r>
      <w:r w:rsidR="005718EF" w:rsidRPr="00A623AD">
        <w:rPr>
          <w:rFonts w:ascii="Arial" w:hAnsi="Arial" w:cs="Arial"/>
          <w:sz w:val="24"/>
        </w:rPr>
        <w:t xml:space="preserve"> apostar num con</w:t>
      </w:r>
      <w:r w:rsidR="005718EF">
        <w:rPr>
          <w:rFonts w:ascii="Arial" w:hAnsi="Arial" w:cs="Arial"/>
          <w:sz w:val="24"/>
        </w:rPr>
        <w:t xml:space="preserve">texto em que se </w:t>
      </w:r>
      <w:r>
        <w:rPr>
          <w:rFonts w:ascii="Arial" w:hAnsi="Arial" w:cs="Arial"/>
          <w:sz w:val="24"/>
        </w:rPr>
        <w:t>sentem mais bem informado</w:t>
      </w:r>
      <w:r w:rsidR="005718EF">
        <w:rPr>
          <w:rFonts w:ascii="Arial" w:hAnsi="Arial" w:cs="Arial"/>
          <w:sz w:val="24"/>
        </w:rPr>
        <w:t>s,</w:t>
      </w:r>
      <w:r w:rsidR="005718EF" w:rsidRPr="00A623AD">
        <w:rPr>
          <w:rFonts w:ascii="Arial" w:hAnsi="Arial" w:cs="Arial"/>
          <w:sz w:val="24"/>
        </w:rPr>
        <w:t xml:space="preserve"> ou competente</w:t>
      </w:r>
      <w:r w:rsidR="005718EF">
        <w:rPr>
          <w:rFonts w:ascii="Arial" w:hAnsi="Arial" w:cs="Arial"/>
          <w:sz w:val="24"/>
        </w:rPr>
        <w:t>s,</w:t>
      </w:r>
      <w:r>
        <w:rPr>
          <w:rFonts w:ascii="Arial" w:hAnsi="Arial" w:cs="Arial"/>
          <w:sz w:val="24"/>
        </w:rPr>
        <w:t xml:space="preserve"> ajudando assim</w:t>
      </w:r>
      <w:r w:rsidR="005718EF">
        <w:rPr>
          <w:rFonts w:ascii="Arial" w:hAnsi="Arial" w:cs="Arial"/>
          <w:sz w:val="24"/>
        </w:rPr>
        <w:t xml:space="preserve"> </w:t>
      </w:r>
      <w:r w:rsidR="005718EF" w:rsidRPr="00111081">
        <w:rPr>
          <w:rFonts w:ascii="Arial" w:hAnsi="Arial" w:cs="Arial"/>
          <w:sz w:val="24"/>
        </w:rPr>
        <w:t>a explic</w:t>
      </w:r>
      <w:r w:rsidR="005718EF">
        <w:rPr>
          <w:rFonts w:ascii="Arial" w:hAnsi="Arial" w:cs="Arial"/>
          <w:sz w:val="24"/>
        </w:rPr>
        <w:t xml:space="preserve">ar </w:t>
      </w:r>
      <w:r>
        <w:rPr>
          <w:rFonts w:ascii="Arial" w:hAnsi="Arial" w:cs="Arial"/>
          <w:sz w:val="24"/>
        </w:rPr>
        <w:t>o porquê</w:t>
      </w:r>
      <w:r w:rsidR="005718EF">
        <w:rPr>
          <w:rFonts w:ascii="Arial" w:hAnsi="Arial" w:cs="Arial"/>
          <w:sz w:val="24"/>
        </w:rPr>
        <w:t xml:space="preserve"> </w:t>
      </w:r>
      <w:r>
        <w:rPr>
          <w:rFonts w:ascii="Arial" w:hAnsi="Arial" w:cs="Arial"/>
          <w:sz w:val="24"/>
        </w:rPr>
        <w:t>dos investidores estarem</w:t>
      </w:r>
      <w:r w:rsidR="005718EF" w:rsidRPr="00111081">
        <w:rPr>
          <w:rFonts w:ascii="Arial" w:hAnsi="Arial" w:cs="Arial"/>
          <w:sz w:val="24"/>
        </w:rPr>
        <w:t xml:space="preserve"> dispostos a renunciar a vantagem de diversificação e se concentrar em um </w:t>
      </w:r>
      <w:r w:rsidR="008258BD">
        <w:rPr>
          <w:rFonts w:ascii="Arial" w:hAnsi="Arial" w:cs="Arial"/>
          <w:sz w:val="24"/>
        </w:rPr>
        <w:t xml:space="preserve">número </w:t>
      </w:r>
      <w:r w:rsidR="005718EF" w:rsidRPr="00111081">
        <w:rPr>
          <w:rFonts w:ascii="Arial" w:hAnsi="Arial" w:cs="Arial"/>
          <w:sz w:val="24"/>
        </w:rPr>
        <w:t>pequeno de empresas</w:t>
      </w:r>
      <w:r>
        <w:rPr>
          <w:rFonts w:ascii="Arial" w:hAnsi="Arial" w:cs="Arial"/>
          <w:sz w:val="24"/>
        </w:rPr>
        <w:t xml:space="preserve"> com as quais estariam</w:t>
      </w:r>
      <w:r w:rsidR="005718EF" w:rsidRPr="00111081">
        <w:rPr>
          <w:rFonts w:ascii="Arial" w:hAnsi="Arial" w:cs="Arial"/>
          <w:sz w:val="24"/>
        </w:rPr>
        <w:t xml:space="preserve"> presumivelmente familiarizados</w:t>
      </w:r>
      <w:r>
        <w:rPr>
          <w:rFonts w:ascii="Arial" w:hAnsi="Arial" w:cs="Arial"/>
          <w:sz w:val="24"/>
        </w:rPr>
        <w:t xml:space="preserve"> [</w:t>
      </w:r>
      <w:r w:rsidRPr="000526A5">
        <w:rPr>
          <w:rFonts w:ascii="Arial" w:hAnsi="Arial" w:cs="Arial"/>
          <w:sz w:val="24"/>
        </w:rPr>
        <w:t>Morse</w:t>
      </w:r>
      <w:r>
        <w:rPr>
          <w:rFonts w:ascii="Arial" w:hAnsi="Arial" w:cs="Arial"/>
          <w:sz w:val="24"/>
        </w:rPr>
        <w:t xml:space="preserve"> e Shive (2004) e </w:t>
      </w:r>
      <w:r w:rsidRPr="00A623AD">
        <w:rPr>
          <w:rFonts w:ascii="Arial" w:hAnsi="Arial" w:cs="Arial"/>
          <w:sz w:val="24"/>
        </w:rPr>
        <w:t>Chip e Tversky</w:t>
      </w:r>
      <w:r>
        <w:rPr>
          <w:rFonts w:ascii="Arial" w:hAnsi="Arial" w:cs="Arial"/>
          <w:sz w:val="24"/>
        </w:rPr>
        <w:t xml:space="preserve"> (1991)]</w:t>
      </w:r>
      <w:r w:rsidRPr="00111081">
        <w:rPr>
          <w:rFonts w:ascii="Arial" w:hAnsi="Arial" w:cs="Arial"/>
          <w:sz w:val="24"/>
        </w:rPr>
        <w:t xml:space="preserve">. </w:t>
      </w:r>
    </w:p>
    <w:p w:rsidR="003431A6" w:rsidRDefault="00A7550B" w:rsidP="003431A6">
      <w:pPr>
        <w:ind w:firstLine="708"/>
        <w:rPr>
          <w:rFonts w:ascii="Arial" w:hAnsi="Arial" w:cs="Arial"/>
          <w:color w:val="000000" w:themeColor="text1"/>
          <w:sz w:val="24"/>
        </w:rPr>
      </w:pPr>
      <w:r>
        <w:rPr>
          <w:rFonts w:ascii="Arial" w:hAnsi="Arial" w:cs="Arial"/>
          <w:color w:val="000000" w:themeColor="text1"/>
          <w:sz w:val="24"/>
        </w:rPr>
        <w:t xml:space="preserve">Retornos positivos desta familiaridade foram encontrados por </w:t>
      </w:r>
      <w:r w:rsidR="003431A6" w:rsidRPr="00092E46">
        <w:rPr>
          <w:rFonts w:ascii="Arial" w:hAnsi="Arial" w:cs="Arial"/>
          <w:color w:val="000000" w:themeColor="text1"/>
          <w:sz w:val="24"/>
        </w:rPr>
        <w:t>Coval e Moskowitz</w:t>
      </w:r>
      <w:r w:rsidR="003431A6">
        <w:rPr>
          <w:rFonts w:ascii="Arial" w:hAnsi="Arial" w:cs="Arial"/>
          <w:color w:val="000000" w:themeColor="text1"/>
          <w:sz w:val="24"/>
        </w:rPr>
        <w:t xml:space="preserve"> (</w:t>
      </w:r>
      <w:r w:rsidR="003431A6" w:rsidRPr="00092E46">
        <w:rPr>
          <w:rFonts w:ascii="Arial" w:hAnsi="Arial" w:cs="Arial"/>
          <w:color w:val="000000" w:themeColor="text1"/>
          <w:sz w:val="24"/>
        </w:rPr>
        <w:t>2001</w:t>
      </w:r>
      <w:r w:rsidR="003431A6">
        <w:rPr>
          <w:rFonts w:ascii="Arial" w:hAnsi="Arial" w:cs="Arial"/>
          <w:color w:val="000000" w:themeColor="text1"/>
          <w:sz w:val="24"/>
        </w:rPr>
        <w:t>)</w:t>
      </w:r>
      <w:r w:rsidR="003431A6" w:rsidRPr="00092E46">
        <w:rPr>
          <w:rFonts w:ascii="Arial" w:hAnsi="Arial" w:cs="Arial"/>
          <w:color w:val="000000" w:themeColor="text1"/>
          <w:sz w:val="24"/>
        </w:rPr>
        <w:t xml:space="preserve"> </w:t>
      </w:r>
      <w:r w:rsidR="003431A6">
        <w:rPr>
          <w:rFonts w:ascii="Arial" w:hAnsi="Arial" w:cs="Arial"/>
          <w:color w:val="000000" w:themeColor="text1"/>
          <w:sz w:val="24"/>
        </w:rPr>
        <w:t xml:space="preserve">em </w:t>
      </w:r>
      <w:r w:rsidR="003431A6" w:rsidRPr="00092E46">
        <w:rPr>
          <w:rFonts w:ascii="Arial" w:hAnsi="Arial" w:cs="Arial"/>
          <w:color w:val="000000" w:themeColor="text1"/>
          <w:sz w:val="24"/>
        </w:rPr>
        <w:t>fundos de investimentos que realizaram investim</w:t>
      </w:r>
      <w:r w:rsidR="003431A6">
        <w:rPr>
          <w:rFonts w:ascii="Arial" w:hAnsi="Arial" w:cs="Arial"/>
          <w:color w:val="000000" w:themeColor="text1"/>
          <w:sz w:val="24"/>
        </w:rPr>
        <w:t>entos geograficamente próximos à</w:t>
      </w:r>
      <w:r w:rsidR="003431A6" w:rsidRPr="00092E46">
        <w:rPr>
          <w:rFonts w:ascii="Arial" w:hAnsi="Arial" w:cs="Arial"/>
          <w:color w:val="000000" w:themeColor="text1"/>
          <w:sz w:val="24"/>
        </w:rPr>
        <w:t>s suas sedes</w:t>
      </w:r>
      <w:r w:rsidR="008258BD">
        <w:rPr>
          <w:rFonts w:ascii="Arial" w:hAnsi="Arial" w:cs="Arial"/>
          <w:color w:val="000000" w:themeColor="text1"/>
          <w:sz w:val="24"/>
        </w:rPr>
        <w:t xml:space="preserve">. Supõem os autores que seja por conta de </w:t>
      </w:r>
      <w:r w:rsidR="003431A6" w:rsidRPr="00092E46">
        <w:rPr>
          <w:rFonts w:ascii="Arial" w:hAnsi="Arial" w:cs="Arial"/>
          <w:color w:val="000000" w:themeColor="text1"/>
          <w:sz w:val="24"/>
        </w:rPr>
        <w:t>uma melhor análise da</w:t>
      </w:r>
      <w:r w:rsidR="003431A6">
        <w:rPr>
          <w:rFonts w:ascii="Arial" w:hAnsi="Arial" w:cs="Arial"/>
          <w:color w:val="000000" w:themeColor="text1"/>
          <w:sz w:val="24"/>
        </w:rPr>
        <w:t>s</w:t>
      </w:r>
      <w:r w:rsidR="003431A6" w:rsidRPr="00092E46">
        <w:rPr>
          <w:rFonts w:ascii="Arial" w:hAnsi="Arial" w:cs="Arial"/>
          <w:color w:val="000000" w:themeColor="text1"/>
          <w:sz w:val="24"/>
        </w:rPr>
        <w:t xml:space="preserve"> empresa</w:t>
      </w:r>
      <w:r w:rsidR="003431A6">
        <w:rPr>
          <w:rFonts w:ascii="Arial" w:hAnsi="Arial" w:cs="Arial"/>
          <w:color w:val="000000" w:themeColor="text1"/>
          <w:sz w:val="24"/>
        </w:rPr>
        <w:t>s</w:t>
      </w:r>
      <w:r w:rsidR="003431A6" w:rsidRPr="00092E46">
        <w:rPr>
          <w:rFonts w:ascii="Arial" w:hAnsi="Arial" w:cs="Arial"/>
          <w:color w:val="000000" w:themeColor="text1"/>
          <w:sz w:val="24"/>
        </w:rPr>
        <w:t xml:space="preserve"> ou </w:t>
      </w:r>
      <w:r w:rsidR="003431A6">
        <w:rPr>
          <w:rFonts w:ascii="Arial" w:hAnsi="Arial" w:cs="Arial"/>
          <w:color w:val="000000" w:themeColor="text1"/>
          <w:sz w:val="24"/>
        </w:rPr>
        <w:t>pelo acesso a</w:t>
      </w:r>
      <w:r w:rsidR="003431A6" w:rsidRPr="00092E46">
        <w:rPr>
          <w:rFonts w:ascii="Arial" w:hAnsi="Arial" w:cs="Arial"/>
          <w:color w:val="000000" w:themeColor="text1"/>
          <w:sz w:val="24"/>
        </w:rPr>
        <w:t xml:space="preserve"> informaçõe</w:t>
      </w:r>
      <w:r w:rsidR="003431A6">
        <w:rPr>
          <w:rFonts w:ascii="Arial" w:hAnsi="Arial" w:cs="Arial"/>
          <w:color w:val="000000" w:themeColor="text1"/>
          <w:sz w:val="24"/>
        </w:rPr>
        <w:t>s privilegiadas.</w:t>
      </w:r>
    </w:p>
    <w:p w:rsidR="003431A6" w:rsidRDefault="003431A6" w:rsidP="003431A6">
      <w:pPr>
        <w:ind w:firstLine="708"/>
        <w:rPr>
          <w:rFonts w:ascii="Arial" w:hAnsi="Arial" w:cs="Arial"/>
          <w:sz w:val="24"/>
        </w:rPr>
      </w:pPr>
      <w:r>
        <w:rPr>
          <w:rFonts w:ascii="Arial" w:hAnsi="Arial" w:cs="Arial"/>
          <w:color w:val="000000" w:themeColor="text1"/>
          <w:sz w:val="24"/>
        </w:rPr>
        <w:t xml:space="preserve">Não só os fundos, mas também os investidores individuais </w:t>
      </w:r>
      <w:r w:rsidRPr="000526A5">
        <w:rPr>
          <w:rFonts w:ascii="Arial" w:hAnsi="Arial" w:cs="Arial"/>
          <w:sz w:val="24"/>
        </w:rPr>
        <w:t xml:space="preserve">apresentam </w:t>
      </w:r>
      <w:r>
        <w:rPr>
          <w:rFonts w:ascii="Arial" w:hAnsi="Arial" w:cs="Arial"/>
          <w:sz w:val="24"/>
        </w:rPr>
        <w:t>esta</w:t>
      </w:r>
      <w:r w:rsidRPr="000526A5">
        <w:rPr>
          <w:rFonts w:ascii="Arial" w:hAnsi="Arial" w:cs="Arial"/>
          <w:sz w:val="24"/>
        </w:rPr>
        <w:t xml:space="preserve"> preferência</w:t>
      </w:r>
      <w:r w:rsidR="00A7550B">
        <w:rPr>
          <w:rFonts w:ascii="Arial" w:hAnsi="Arial" w:cs="Arial"/>
          <w:sz w:val="24"/>
        </w:rPr>
        <w:t>. S</w:t>
      </w:r>
      <w:r w:rsidR="008258BD">
        <w:rPr>
          <w:rFonts w:ascii="Arial" w:hAnsi="Arial" w:cs="Arial"/>
          <w:sz w:val="24"/>
        </w:rPr>
        <w:t xml:space="preserve">egundo Ivkovic e </w:t>
      </w:r>
      <w:r>
        <w:rPr>
          <w:rFonts w:ascii="Arial" w:hAnsi="Arial" w:cs="Arial"/>
          <w:sz w:val="24"/>
        </w:rPr>
        <w:t>Weisbenner</w:t>
      </w:r>
      <w:r w:rsidR="00A7550B">
        <w:rPr>
          <w:rFonts w:ascii="Arial" w:hAnsi="Arial" w:cs="Arial"/>
          <w:sz w:val="24"/>
        </w:rPr>
        <w:t xml:space="preserve"> </w:t>
      </w:r>
      <w:r>
        <w:rPr>
          <w:rFonts w:ascii="Arial" w:hAnsi="Arial" w:cs="Arial"/>
          <w:sz w:val="24"/>
        </w:rPr>
        <w:t>(2005</w:t>
      </w:r>
      <w:r w:rsidR="00A7550B">
        <w:rPr>
          <w:rFonts w:ascii="Arial" w:hAnsi="Arial" w:cs="Arial"/>
          <w:sz w:val="24"/>
        </w:rPr>
        <w:t xml:space="preserve">), </w:t>
      </w:r>
      <w:r w:rsidRPr="000526A5">
        <w:rPr>
          <w:rFonts w:ascii="Arial" w:hAnsi="Arial" w:cs="Arial"/>
          <w:sz w:val="24"/>
        </w:rPr>
        <w:t xml:space="preserve">em média, os investimentos dos indivíduos em ações locais superam </w:t>
      </w:r>
      <w:r w:rsidR="008258BD">
        <w:rPr>
          <w:rFonts w:ascii="Arial" w:hAnsi="Arial" w:cs="Arial"/>
          <w:sz w:val="24"/>
        </w:rPr>
        <w:t xml:space="preserve">os </w:t>
      </w:r>
      <w:r w:rsidRPr="000526A5">
        <w:rPr>
          <w:rFonts w:ascii="Arial" w:hAnsi="Arial" w:cs="Arial"/>
          <w:sz w:val="24"/>
        </w:rPr>
        <w:t xml:space="preserve">seus investimentos em ações não-locais, sugerindo que os investidores são capazes de explorar </w:t>
      </w:r>
      <w:r>
        <w:rPr>
          <w:rFonts w:ascii="Arial" w:hAnsi="Arial" w:cs="Arial"/>
          <w:sz w:val="24"/>
        </w:rPr>
        <w:t xml:space="preserve">melhor </w:t>
      </w:r>
      <w:r w:rsidRPr="000526A5">
        <w:rPr>
          <w:rFonts w:ascii="Arial" w:hAnsi="Arial" w:cs="Arial"/>
          <w:sz w:val="24"/>
        </w:rPr>
        <w:t>o conhecimento local.</w:t>
      </w:r>
    </w:p>
    <w:p w:rsidR="00DB67D1" w:rsidRDefault="0040132A" w:rsidP="00DB67D1">
      <w:pPr>
        <w:ind w:firstLine="708"/>
        <w:rPr>
          <w:rFonts w:ascii="Arial" w:hAnsi="Arial" w:cs="Arial"/>
          <w:color w:val="000000" w:themeColor="text1"/>
          <w:sz w:val="24"/>
        </w:rPr>
      </w:pPr>
      <w:r>
        <w:rPr>
          <w:rFonts w:ascii="Arial" w:hAnsi="Arial" w:cs="Arial"/>
          <w:color w:val="000000" w:themeColor="text1"/>
          <w:sz w:val="24"/>
        </w:rPr>
        <w:lastRenderedPageBreak/>
        <w:t xml:space="preserve">Neste contexto, </w:t>
      </w:r>
      <w:r w:rsidR="00C64F56" w:rsidRPr="00B76905">
        <w:rPr>
          <w:rFonts w:ascii="Arial" w:hAnsi="Arial" w:cs="Arial"/>
          <w:color w:val="000000" w:themeColor="text1"/>
          <w:sz w:val="24"/>
        </w:rPr>
        <w:t>Huberman</w:t>
      </w:r>
      <w:r w:rsidR="00D707C9">
        <w:rPr>
          <w:rFonts w:ascii="Arial" w:hAnsi="Arial" w:cs="Arial"/>
          <w:color w:val="000000" w:themeColor="text1"/>
          <w:sz w:val="24"/>
        </w:rPr>
        <w:t xml:space="preserve"> (1999)</w:t>
      </w:r>
      <w:r w:rsidR="00C64F56" w:rsidRPr="00B76905">
        <w:rPr>
          <w:rFonts w:ascii="Arial" w:hAnsi="Arial" w:cs="Arial"/>
          <w:color w:val="000000" w:themeColor="text1"/>
          <w:sz w:val="24"/>
        </w:rPr>
        <w:t xml:space="preserve"> observou que o</w:t>
      </w:r>
      <w:r w:rsidR="00845066">
        <w:rPr>
          <w:rFonts w:ascii="Arial" w:hAnsi="Arial" w:cs="Arial"/>
          <w:color w:val="000000" w:themeColor="text1"/>
          <w:sz w:val="24"/>
        </w:rPr>
        <w:t>s</w:t>
      </w:r>
      <w:r w:rsidR="00C64F56" w:rsidRPr="00B76905">
        <w:rPr>
          <w:rFonts w:ascii="Arial" w:hAnsi="Arial" w:cs="Arial"/>
          <w:color w:val="000000" w:themeColor="text1"/>
          <w:sz w:val="24"/>
        </w:rPr>
        <w:t xml:space="preserve"> investidores </w:t>
      </w:r>
      <w:r w:rsidR="0010645E">
        <w:rPr>
          <w:rFonts w:ascii="Arial" w:hAnsi="Arial" w:cs="Arial"/>
          <w:color w:val="000000" w:themeColor="text1"/>
          <w:sz w:val="24"/>
        </w:rPr>
        <w:t>tendem a investir mais em</w:t>
      </w:r>
      <w:r w:rsidR="00C64F56" w:rsidRPr="00B76905">
        <w:rPr>
          <w:rFonts w:ascii="Arial" w:hAnsi="Arial" w:cs="Arial"/>
          <w:color w:val="000000" w:themeColor="text1"/>
          <w:sz w:val="24"/>
        </w:rPr>
        <w:t xml:space="preserve"> empresas onde t</w:t>
      </w:r>
      <w:r>
        <w:rPr>
          <w:rFonts w:ascii="Arial" w:hAnsi="Arial" w:cs="Arial"/>
          <w:color w:val="000000" w:themeColor="text1"/>
          <w:sz w:val="24"/>
        </w:rPr>
        <w:t>rabalham</w:t>
      </w:r>
      <w:r w:rsidR="00C64F56">
        <w:rPr>
          <w:rFonts w:ascii="Arial" w:hAnsi="Arial" w:cs="Arial"/>
          <w:color w:val="000000" w:themeColor="text1"/>
          <w:sz w:val="24"/>
        </w:rPr>
        <w:t xml:space="preserve"> do que em outras</w:t>
      </w:r>
      <w:r w:rsidR="007722A6">
        <w:rPr>
          <w:rFonts w:ascii="Arial" w:hAnsi="Arial" w:cs="Arial"/>
          <w:color w:val="000000" w:themeColor="text1"/>
          <w:sz w:val="24"/>
        </w:rPr>
        <w:t>,</w:t>
      </w:r>
      <w:r w:rsidR="0010645E">
        <w:rPr>
          <w:rFonts w:ascii="Arial" w:hAnsi="Arial" w:cs="Arial"/>
          <w:color w:val="000000" w:themeColor="text1"/>
          <w:sz w:val="24"/>
        </w:rPr>
        <w:t xml:space="preserve"> e traçou</w:t>
      </w:r>
      <w:r w:rsidR="00C64F56">
        <w:rPr>
          <w:rFonts w:ascii="Arial" w:hAnsi="Arial" w:cs="Arial"/>
          <w:color w:val="000000" w:themeColor="text1"/>
          <w:sz w:val="24"/>
        </w:rPr>
        <w:t xml:space="preserve"> como possibilidade para este comportamento</w:t>
      </w:r>
      <w:r w:rsidR="00A7550B">
        <w:rPr>
          <w:rFonts w:ascii="Arial" w:hAnsi="Arial" w:cs="Arial"/>
          <w:color w:val="000000" w:themeColor="text1"/>
          <w:sz w:val="24"/>
        </w:rPr>
        <w:t xml:space="preserve"> </w:t>
      </w:r>
      <w:r w:rsidR="0010645E">
        <w:rPr>
          <w:rFonts w:ascii="Arial" w:hAnsi="Arial" w:cs="Arial"/>
          <w:color w:val="000000" w:themeColor="text1"/>
          <w:sz w:val="24"/>
        </w:rPr>
        <w:t xml:space="preserve">o fato de </w:t>
      </w:r>
      <w:r w:rsidRPr="00B76905">
        <w:rPr>
          <w:rFonts w:ascii="Arial" w:hAnsi="Arial" w:cs="Arial"/>
          <w:color w:val="000000" w:themeColor="text1"/>
          <w:sz w:val="24"/>
        </w:rPr>
        <w:t>est</w:t>
      </w:r>
      <w:r>
        <w:rPr>
          <w:rFonts w:ascii="Arial" w:hAnsi="Arial" w:cs="Arial"/>
          <w:color w:val="000000" w:themeColor="text1"/>
          <w:sz w:val="24"/>
        </w:rPr>
        <w:t>arem</w:t>
      </w:r>
      <w:r w:rsidRPr="00B76905">
        <w:rPr>
          <w:rFonts w:ascii="Arial" w:hAnsi="Arial" w:cs="Arial"/>
          <w:color w:val="000000" w:themeColor="text1"/>
          <w:sz w:val="24"/>
        </w:rPr>
        <w:t xml:space="preserve"> mais motivados </w:t>
      </w:r>
      <w:r w:rsidR="007722A6">
        <w:rPr>
          <w:rFonts w:ascii="Arial" w:hAnsi="Arial" w:cs="Arial"/>
          <w:color w:val="000000" w:themeColor="text1"/>
          <w:sz w:val="24"/>
        </w:rPr>
        <w:t>a</w:t>
      </w:r>
      <w:r w:rsidRPr="00B76905">
        <w:rPr>
          <w:rFonts w:ascii="Arial" w:hAnsi="Arial" w:cs="Arial"/>
          <w:color w:val="000000" w:themeColor="text1"/>
          <w:sz w:val="24"/>
        </w:rPr>
        <w:t xml:space="preserve"> trabalhar sabendo que </w:t>
      </w:r>
      <w:r>
        <w:rPr>
          <w:rFonts w:ascii="Arial" w:hAnsi="Arial" w:cs="Arial"/>
          <w:color w:val="000000" w:themeColor="text1"/>
          <w:sz w:val="24"/>
        </w:rPr>
        <w:t xml:space="preserve">também </w:t>
      </w:r>
      <w:r w:rsidRPr="00B76905">
        <w:rPr>
          <w:rFonts w:ascii="Arial" w:hAnsi="Arial" w:cs="Arial"/>
          <w:color w:val="000000" w:themeColor="text1"/>
          <w:sz w:val="24"/>
        </w:rPr>
        <w:t>são proprietários</w:t>
      </w:r>
      <w:r w:rsidR="0010645E">
        <w:rPr>
          <w:rFonts w:ascii="Arial" w:hAnsi="Arial" w:cs="Arial"/>
          <w:color w:val="000000" w:themeColor="text1"/>
          <w:sz w:val="24"/>
        </w:rPr>
        <w:t xml:space="preserve"> d</w:t>
      </w:r>
      <w:r w:rsidR="008258BD">
        <w:rPr>
          <w:rFonts w:ascii="Arial" w:hAnsi="Arial" w:cs="Arial"/>
          <w:color w:val="000000" w:themeColor="text1"/>
          <w:sz w:val="24"/>
        </w:rPr>
        <w:t>a empresa</w:t>
      </w:r>
      <w:r w:rsidR="00DB67D1">
        <w:rPr>
          <w:rFonts w:ascii="Arial" w:hAnsi="Arial" w:cs="Arial"/>
          <w:color w:val="000000" w:themeColor="text1"/>
          <w:sz w:val="24"/>
        </w:rPr>
        <w:t>.</w:t>
      </w:r>
    </w:p>
    <w:p w:rsidR="00DB67D1" w:rsidRDefault="0040132A" w:rsidP="00DB67D1">
      <w:pPr>
        <w:ind w:firstLine="708"/>
        <w:rPr>
          <w:rFonts w:ascii="Arial" w:hAnsi="Arial" w:cs="Arial"/>
          <w:sz w:val="24"/>
        </w:rPr>
      </w:pPr>
      <w:r>
        <w:rPr>
          <w:rFonts w:ascii="Arial" w:hAnsi="Arial" w:cs="Arial"/>
          <w:color w:val="000000" w:themeColor="text1"/>
          <w:sz w:val="24"/>
        </w:rPr>
        <w:t xml:space="preserve">Diversos autores </w:t>
      </w:r>
      <w:r w:rsidR="00D707C9">
        <w:rPr>
          <w:rFonts w:ascii="Arial" w:hAnsi="Arial" w:cs="Arial"/>
          <w:color w:val="000000" w:themeColor="text1"/>
          <w:sz w:val="24"/>
        </w:rPr>
        <w:t>[</w:t>
      </w:r>
      <w:r w:rsidRPr="008C6165">
        <w:rPr>
          <w:rFonts w:ascii="Arial" w:hAnsi="Arial" w:cs="Arial"/>
          <w:sz w:val="24"/>
        </w:rPr>
        <w:t>Benartzi</w:t>
      </w:r>
      <w:r w:rsidR="00D707C9">
        <w:rPr>
          <w:rFonts w:ascii="Arial" w:hAnsi="Arial" w:cs="Arial"/>
          <w:sz w:val="24"/>
        </w:rPr>
        <w:t xml:space="preserve"> (2001)</w:t>
      </w:r>
      <w:r w:rsidRPr="008C6165">
        <w:rPr>
          <w:rFonts w:ascii="Arial" w:hAnsi="Arial" w:cs="Arial"/>
          <w:sz w:val="24"/>
        </w:rPr>
        <w:t>,</w:t>
      </w:r>
      <w:r w:rsidR="00A7550B">
        <w:rPr>
          <w:rFonts w:ascii="Arial" w:hAnsi="Arial" w:cs="Arial"/>
          <w:sz w:val="24"/>
        </w:rPr>
        <w:t xml:space="preserve"> </w:t>
      </w:r>
      <w:r>
        <w:rPr>
          <w:rFonts w:ascii="Arial" w:hAnsi="Arial" w:cs="Arial"/>
          <w:sz w:val="24"/>
        </w:rPr>
        <w:t>Liang</w:t>
      </w:r>
      <w:r w:rsidRPr="008C6165">
        <w:rPr>
          <w:rFonts w:ascii="Arial" w:hAnsi="Arial" w:cs="Arial"/>
          <w:sz w:val="24"/>
        </w:rPr>
        <w:t xml:space="preserve"> e Weisbenner</w:t>
      </w:r>
      <w:r w:rsidR="00D707C9">
        <w:rPr>
          <w:rFonts w:ascii="Arial" w:hAnsi="Arial" w:cs="Arial"/>
          <w:sz w:val="24"/>
        </w:rPr>
        <w:t xml:space="preserve"> (2002)</w:t>
      </w:r>
      <w:r w:rsidRPr="008C6165">
        <w:rPr>
          <w:rFonts w:ascii="Arial" w:hAnsi="Arial" w:cs="Arial"/>
          <w:sz w:val="24"/>
        </w:rPr>
        <w:t>,</w:t>
      </w:r>
      <w:r w:rsidR="00A7550B">
        <w:rPr>
          <w:rFonts w:ascii="Arial" w:hAnsi="Arial" w:cs="Arial"/>
          <w:sz w:val="24"/>
        </w:rPr>
        <w:t xml:space="preserve"> </w:t>
      </w:r>
      <w:r w:rsidRPr="00092E46">
        <w:rPr>
          <w:rFonts w:ascii="Arial" w:hAnsi="Arial" w:cs="Arial"/>
          <w:sz w:val="24"/>
        </w:rPr>
        <w:t>Huberman e Sengmuller</w:t>
      </w:r>
      <w:r w:rsidR="00D707C9">
        <w:rPr>
          <w:rFonts w:ascii="Arial" w:hAnsi="Arial" w:cs="Arial"/>
          <w:sz w:val="24"/>
        </w:rPr>
        <w:t xml:space="preserve"> (</w:t>
      </w:r>
      <w:r w:rsidRPr="00092E46">
        <w:rPr>
          <w:rFonts w:ascii="Arial" w:hAnsi="Arial" w:cs="Arial"/>
          <w:sz w:val="24"/>
        </w:rPr>
        <w:t>2002</w:t>
      </w:r>
      <w:r w:rsidR="00D707C9">
        <w:rPr>
          <w:rFonts w:ascii="Arial" w:hAnsi="Arial" w:cs="Arial"/>
          <w:sz w:val="24"/>
        </w:rPr>
        <w:t xml:space="preserve">) e </w:t>
      </w:r>
      <w:r w:rsidRPr="00092E46">
        <w:rPr>
          <w:rFonts w:ascii="Arial" w:hAnsi="Arial" w:cs="Arial"/>
          <w:sz w:val="24"/>
        </w:rPr>
        <w:t xml:space="preserve">Choi, Laibson, </w:t>
      </w:r>
      <w:r w:rsidR="00D707C9">
        <w:rPr>
          <w:rFonts w:ascii="Arial" w:hAnsi="Arial" w:cs="Arial"/>
          <w:sz w:val="24"/>
        </w:rPr>
        <w:t xml:space="preserve">Madrian e </w:t>
      </w:r>
      <w:r w:rsidRPr="00092E46">
        <w:rPr>
          <w:rFonts w:ascii="Arial" w:hAnsi="Arial" w:cs="Arial"/>
          <w:sz w:val="24"/>
        </w:rPr>
        <w:t>Metrick</w:t>
      </w:r>
      <w:r w:rsidR="00A7550B">
        <w:rPr>
          <w:rFonts w:ascii="Arial" w:hAnsi="Arial" w:cs="Arial"/>
          <w:sz w:val="24"/>
        </w:rPr>
        <w:t xml:space="preserve"> </w:t>
      </w:r>
      <w:r w:rsidR="00D707C9">
        <w:rPr>
          <w:rFonts w:ascii="Arial" w:hAnsi="Arial" w:cs="Arial"/>
          <w:sz w:val="24"/>
        </w:rPr>
        <w:t>(2004</w:t>
      </w:r>
      <w:r>
        <w:rPr>
          <w:rFonts w:ascii="Arial" w:hAnsi="Arial" w:cs="Arial"/>
          <w:color w:val="000000" w:themeColor="text1"/>
          <w:sz w:val="24"/>
        </w:rPr>
        <w:t>)</w:t>
      </w:r>
      <w:r w:rsidR="00D707C9">
        <w:rPr>
          <w:rFonts w:ascii="Arial" w:hAnsi="Arial" w:cs="Arial"/>
          <w:color w:val="000000" w:themeColor="text1"/>
          <w:sz w:val="24"/>
        </w:rPr>
        <w:t>]</w:t>
      </w:r>
      <w:r w:rsidR="007722A6">
        <w:rPr>
          <w:rFonts w:ascii="Arial" w:hAnsi="Arial" w:cs="Arial"/>
          <w:color w:val="000000" w:themeColor="text1"/>
          <w:sz w:val="24"/>
        </w:rPr>
        <w:t xml:space="preserve"> trazem</w:t>
      </w:r>
      <w:r>
        <w:rPr>
          <w:rFonts w:ascii="Arial" w:hAnsi="Arial" w:cs="Arial"/>
          <w:color w:val="000000" w:themeColor="text1"/>
          <w:sz w:val="24"/>
        </w:rPr>
        <w:t xml:space="preserve"> que</w:t>
      </w:r>
      <w:r w:rsidR="00BB71D4" w:rsidRPr="008C6165">
        <w:rPr>
          <w:rFonts w:ascii="Arial" w:hAnsi="Arial" w:cs="Arial"/>
          <w:sz w:val="24"/>
        </w:rPr>
        <w:t xml:space="preserve"> os funcionários </w:t>
      </w:r>
      <w:r w:rsidR="00D730D2">
        <w:rPr>
          <w:rFonts w:ascii="Arial" w:hAnsi="Arial" w:cs="Arial"/>
          <w:sz w:val="24"/>
        </w:rPr>
        <w:t>projetam</w:t>
      </w:r>
      <w:r w:rsidR="00BB71D4" w:rsidRPr="008C6165">
        <w:rPr>
          <w:rFonts w:ascii="Arial" w:hAnsi="Arial" w:cs="Arial"/>
          <w:sz w:val="24"/>
        </w:rPr>
        <w:t xml:space="preserve"> os retornos passados das ações da empresa para o futuro</w:t>
      </w:r>
      <w:r w:rsidR="00D730D2">
        <w:rPr>
          <w:rFonts w:ascii="Arial" w:hAnsi="Arial" w:cs="Arial"/>
          <w:sz w:val="24"/>
        </w:rPr>
        <w:t>,</w:t>
      </w:r>
      <w:r w:rsidR="00BB71D4" w:rsidRPr="008C6165">
        <w:rPr>
          <w:rFonts w:ascii="Arial" w:hAnsi="Arial" w:cs="Arial"/>
          <w:sz w:val="24"/>
        </w:rPr>
        <w:t xml:space="preserve"> e que são excessivamente confiantes sobre as </w:t>
      </w:r>
      <w:r w:rsidR="0010645E">
        <w:rPr>
          <w:rFonts w:ascii="Arial" w:hAnsi="Arial" w:cs="Arial"/>
          <w:sz w:val="24"/>
        </w:rPr>
        <w:t xml:space="preserve">suas </w:t>
      </w:r>
      <w:r w:rsidR="00BB71D4" w:rsidRPr="008C6165">
        <w:rPr>
          <w:rFonts w:ascii="Arial" w:hAnsi="Arial" w:cs="Arial"/>
          <w:sz w:val="24"/>
        </w:rPr>
        <w:t>perspectivas futuras</w:t>
      </w:r>
      <w:r w:rsidR="0010645E">
        <w:rPr>
          <w:rFonts w:ascii="Arial" w:hAnsi="Arial" w:cs="Arial"/>
          <w:sz w:val="24"/>
        </w:rPr>
        <w:t>,</w:t>
      </w:r>
      <w:r w:rsidR="00A7550B">
        <w:rPr>
          <w:rFonts w:ascii="Arial" w:hAnsi="Arial" w:cs="Arial"/>
          <w:sz w:val="24"/>
        </w:rPr>
        <w:t xml:space="preserve"> </w:t>
      </w:r>
      <w:r w:rsidR="00D730D2">
        <w:rPr>
          <w:rFonts w:ascii="Arial" w:hAnsi="Arial" w:cs="Arial"/>
          <w:sz w:val="24"/>
        </w:rPr>
        <w:t xml:space="preserve">acreditando </w:t>
      </w:r>
      <w:r w:rsidR="00BB71D4" w:rsidRPr="008C6165">
        <w:rPr>
          <w:rFonts w:ascii="Arial" w:hAnsi="Arial" w:cs="Arial"/>
          <w:sz w:val="24"/>
        </w:rPr>
        <w:t xml:space="preserve">que </w:t>
      </w:r>
      <w:r>
        <w:rPr>
          <w:rFonts w:ascii="Arial" w:hAnsi="Arial" w:cs="Arial"/>
          <w:sz w:val="24"/>
        </w:rPr>
        <w:t xml:space="preserve">estas ações </w:t>
      </w:r>
      <w:r w:rsidR="00BB71D4" w:rsidRPr="008C6165">
        <w:rPr>
          <w:rFonts w:ascii="Arial" w:hAnsi="Arial" w:cs="Arial"/>
          <w:sz w:val="24"/>
        </w:rPr>
        <w:t xml:space="preserve">são menos arriscadas do que as demais ações </w:t>
      </w:r>
      <w:r>
        <w:rPr>
          <w:rFonts w:ascii="Arial" w:hAnsi="Arial" w:cs="Arial"/>
          <w:sz w:val="24"/>
        </w:rPr>
        <w:t>disponíveis n</w:t>
      </w:r>
      <w:r w:rsidR="00BB71D4" w:rsidRPr="008C6165">
        <w:rPr>
          <w:rFonts w:ascii="Arial" w:hAnsi="Arial" w:cs="Arial"/>
          <w:sz w:val="24"/>
        </w:rPr>
        <w:t>o mercado.</w:t>
      </w:r>
    </w:p>
    <w:p w:rsidR="00DB67D1" w:rsidRDefault="0040132A" w:rsidP="00DB67D1">
      <w:pPr>
        <w:ind w:firstLine="708"/>
        <w:rPr>
          <w:rFonts w:ascii="Arial" w:hAnsi="Arial" w:cs="Arial"/>
          <w:sz w:val="24"/>
        </w:rPr>
      </w:pPr>
      <w:r w:rsidRPr="008C6165">
        <w:rPr>
          <w:rFonts w:ascii="Arial" w:hAnsi="Arial" w:cs="Arial"/>
          <w:sz w:val="24"/>
        </w:rPr>
        <w:t>Benartzi</w:t>
      </w:r>
      <w:r>
        <w:rPr>
          <w:rFonts w:ascii="Arial" w:hAnsi="Arial" w:cs="Arial"/>
          <w:sz w:val="24"/>
        </w:rPr>
        <w:t xml:space="preserve"> (</w:t>
      </w:r>
      <w:r w:rsidR="00D707C9">
        <w:rPr>
          <w:rFonts w:ascii="Arial" w:hAnsi="Arial" w:cs="Arial"/>
          <w:sz w:val="24"/>
        </w:rPr>
        <w:t>2001</w:t>
      </w:r>
      <w:r>
        <w:rPr>
          <w:rFonts w:ascii="Arial" w:hAnsi="Arial" w:cs="Arial"/>
          <w:sz w:val="24"/>
        </w:rPr>
        <w:t xml:space="preserve">) ainda </w:t>
      </w:r>
      <w:r w:rsidR="00D707C9">
        <w:rPr>
          <w:rFonts w:ascii="Arial" w:hAnsi="Arial" w:cs="Arial"/>
          <w:sz w:val="24"/>
        </w:rPr>
        <w:t xml:space="preserve">constata </w:t>
      </w:r>
      <w:r w:rsidR="00CB142C">
        <w:rPr>
          <w:rFonts w:ascii="Arial" w:hAnsi="Arial" w:cs="Arial"/>
          <w:sz w:val="24"/>
        </w:rPr>
        <w:t xml:space="preserve">que </w:t>
      </w:r>
      <w:r w:rsidR="00BB71D4" w:rsidRPr="008C6165">
        <w:rPr>
          <w:rFonts w:ascii="Arial" w:hAnsi="Arial" w:cs="Arial"/>
          <w:sz w:val="24"/>
        </w:rPr>
        <w:t>os funcionários de empresas com retornos melhores nos últimos 10 anos, tendem a investir mais do</w:t>
      </w:r>
      <w:r w:rsidR="000B36DA">
        <w:rPr>
          <w:rFonts w:ascii="Arial" w:hAnsi="Arial" w:cs="Arial"/>
          <w:sz w:val="24"/>
        </w:rPr>
        <w:t xml:space="preserve"> que em empresas que tiveram </w:t>
      </w:r>
      <w:r w:rsidR="00BB71D4" w:rsidRPr="008C6165">
        <w:rPr>
          <w:rFonts w:ascii="Arial" w:hAnsi="Arial" w:cs="Arial"/>
          <w:sz w:val="24"/>
        </w:rPr>
        <w:t>retornos</w:t>
      </w:r>
      <w:r w:rsidR="000B36DA" w:rsidRPr="008C6165">
        <w:rPr>
          <w:rFonts w:ascii="Arial" w:hAnsi="Arial" w:cs="Arial"/>
          <w:sz w:val="24"/>
        </w:rPr>
        <w:t>piores</w:t>
      </w:r>
      <w:r w:rsidR="00BB71D4" w:rsidRPr="008C6165">
        <w:rPr>
          <w:rFonts w:ascii="Arial" w:hAnsi="Arial" w:cs="Arial"/>
          <w:sz w:val="24"/>
        </w:rPr>
        <w:t xml:space="preserve"> em 10 anos, o que indica que eles</w:t>
      </w:r>
      <w:r w:rsidR="000B36DA">
        <w:rPr>
          <w:rFonts w:ascii="Arial" w:hAnsi="Arial" w:cs="Arial"/>
          <w:sz w:val="24"/>
        </w:rPr>
        <w:t xml:space="preserve"> poderiam comprar</w:t>
      </w:r>
      <w:r w:rsidR="00BB71D4" w:rsidRPr="008C6165">
        <w:rPr>
          <w:rFonts w:ascii="Arial" w:hAnsi="Arial" w:cs="Arial"/>
          <w:sz w:val="24"/>
        </w:rPr>
        <w:t xml:space="preserve"> ações que já subiram</w:t>
      </w:r>
      <w:r w:rsidR="000B36DA">
        <w:rPr>
          <w:rFonts w:ascii="Arial" w:hAnsi="Arial" w:cs="Arial"/>
          <w:sz w:val="24"/>
        </w:rPr>
        <w:t>.</w:t>
      </w:r>
    </w:p>
    <w:p w:rsidR="004821E6" w:rsidRDefault="0021027E" w:rsidP="00A7550B">
      <w:pPr>
        <w:ind w:firstLine="708"/>
        <w:rPr>
          <w:rFonts w:ascii="Arial" w:hAnsi="Arial" w:cs="Arial"/>
          <w:sz w:val="24"/>
        </w:rPr>
      </w:pPr>
      <w:r>
        <w:rPr>
          <w:rFonts w:ascii="Arial" w:hAnsi="Arial" w:cs="Arial"/>
          <w:sz w:val="24"/>
        </w:rPr>
        <w:t>Não menos importante,</w:t>
      </w:r>
      <w:r w:rsidR="0040132A">
        <w:rPr>
          <w:rFonts w:ascii="Arial" w:hAnsi="Arial" w:cs="Arial"/>
          <w:sz w:val="24"/>
        </w:rPr>
        <w:t xml:space="preserve"> a </w:t>
      </w:r>
      <w:r w:rsidR="0040132A" w:rsidRPr="008C6165">
        <w:rPr>
          <w:rFonts w:ascii="Arial" w:hAnsi="Arial" w:cs="Arial"/>
          <w:sz w:val="24"/>
        </w:rPr>
        <w:t xml:space="preserve">interferência dos gestores </w:t>
      </w:r>
      <w:r w:rsidR="0040132A">
        <w:rPr>
          <w:rFonts w:ascii="Arial" w:hAnsi="Arial" w:cs="Arial"/>
          <w:sz w:val="24"/>
        </w:rPr>
        <w:t>em</w:t>
      </w:r>
      <w:r w:rsidR="0040132A" w:rsidRPr="008C6165">
        <w:rPr>
          <w:rFonts w:ascii="Arial" w:hAnsi="Arial" w:cs="Arial"/>
          <w:sz w:val="24"/>
        </w:rPr>
        <w:t xml:space="preserve"> induzir os funcionários </w:t>
      </w:r>
      <w:r w:rsidR="0040132A">
        <w:rPr>
          <w:rFonts w:ascii="Arial" w:hAnsi="Arial" w:cs="Arial"/>
          <w:sz w:val="24"/>
        </w:rPr>
        <w:t xml:space="preserve">a investirem em ações da empresa </w:t>
      </w:r>
      <w:r>
        <w:rPr>
          <w:rFonts w:ascii="Arial" w:hAnsi="Arial" w:cs="Arial"/>
          <w:sz w:val="24"/>
        </w:rPr>
        <w:t xml:space="preserve">também pode contribuir para </w:t>
      </w:r>
      <w:r w:rsidR="008258BD">
        <w:rPr>
          <w:rFonts w:ascii="Arial" w:hAnsi="Arial" w:cs="Arial"/>
          <w:sz w:val="24"/>
        </w:rPr>
        <w:t xml:space="preserve">o </w:t>
      </w:r>
      <w:r w:rsidR="008258BD" w:rsidRPr="008258BD">
        <w:rPr>
          <w:rFonts w:ascii="Arial" w:hAnsi="Arial" w:cs="Arial"/>
          <w:i/>
          <w:sz w:val="24"/>
        </w:rPr>
        <w:t>Home Bia</w:t>
      </w:r>
      <w:r w:rsidR="0040132A">
        <w:rPr>
          <w:rFonts w:ascii="Arial" w:hAnsi="Arial" w:cs="Arial"/>
          <w:sz w:val="24"/>
        </w:rPr>
        <w:t>.</w:t>
      </w:r>
      <w:r>
        <w:rPr>
          <w:rFonts w:ascii="Arial" w:hAnsi="Arial" w:cs="Arial"/>
          <w:sz w:val="24"/>
        </w:rPr>
        <w:t xml:space="preserve"> Muitas vezes, a</w:t>
      </w:r>
      <w:r w:rsidR="0040132A">
        <w:rPr>
          <w:rFonts w:ascii="Arial" w:hAnsi="Arial" w:cs="Arial"/>
          <w:sz w:val="24"/>
        </w:rPr>
        <w:t xml:space="preserve"> propriedade</w:t>
      </w:r>
      <w:r w:rsidR="0040132A" w:rsidRPr="008C6165">
        <w:rPr>
          <w:rFonts w:ascii="Arial" w:hAnsi="Arial" w:cs="Arial"/>
          <w:sz w:val="24"/>
        </w:rPr>
        <w:t xml:space="preserve"> de ações </w:t>
      </w:r>
      <w:r w:rsidR="008258BD">
        <w:rPr>
          <w:rFonts w:ascii="Arial" w:hAnsi="Arial" w:cs="Arial"/>
          <w:sz w:val="24"/>
        </w:rPr>
        <w:t xml:space="preserve">detida </w:t>
      </w:r>
      <w:r w:rsidR="0040132A">
        <w:rPr>
          <w:rFonts w:ascii="Arial" w:hAnsi="Arial" w:cs="Arial"/>
          <w:sz w:val="24"/>
        </w:rPr>
        <w:t>pelos</w:t>
      </w:r>
      <w:r w:rsidR="0040132A" w:rsidRPr="008C6165">
        <w:rPr>
          <w:rFonts w:ascii="Arial" w:hAnsi="Arial" w:cs="Arial"/>
          <w:sz w:val="24"/>
        </w:rPr>
        <w:t xml:space="preserve"> funcionários serve como uma defesa</w:t>
      </w:r>
      <w:r w:rsidR="0040132A">
        <w:rPr>
          <w:rFonts w:ascii="Arial" w:hAnsi="Arial" w:cs="Arial"/>
          <w:sz w:val="24"/>
        </w:rPr>
        <w:t xml:space="preserve"> contra uma mudança no controle, reduzindo</w:t>
      </w:r>
      <w:r w:rsidR="003431A6">
        <w:rPr>
          <w:rFonts w:ascii="Arial" w:hAnsi="Arial" w:cs="Arial"/>
          <w:sz w:val="24"/>
        </w:rPr>
        <w:t xml:space="preserve"> </w:t>
      </w:r>
      <w:r w:rsidR="0040132A">
        <w:rPr>
          <w:rFonts w:ascii="Arial" w:hAnsi="Arial" w:cs="Arial"/>
          <w:sz w:val="24"/>
        </w:rPr>
        <w:t xml:space="preserve">assim </w:t>
      </w:r>
      <w:r w:rsidR="0040132A" w:rsidRPr="008C6165">
        <w:rPr>
          <w:rFonts w:ascii="Arial" w:hAnsi="Arial" w:cs="Arial"/>
          <w:sz w:val="24"/>
        </w:rPr>
        <w:t>a probabilidade de uma aquisição</w:t>
      </w:r>
      <w:r w:rsidR="003431A6">
        <w:rPr>
          <w:rFonts w:ascii="Arial" w:hAnsi="Arial" w:cs="Arial"/>
          <w:sz w:val="24"/>
        </w:rPr>
        <w:t xml:space="preserve"> </w:t>
      </w:r>
      <w:r w:rsidR="00D707C9">
        <w:rPr>
          <w:rFonts w:ascii="Arial" w:hAnsi="Arial" w:cs="Arial"/>
          <w:sz w:val="24"/>
        </w:rPr>
        <w:t>[</w:t>
      </w:r>
      <w:r w:rsidRPr="008C6165">
        <w:rPr>
          <w:rFonts w:ascii="Arial" w:hAnsi="Arial" w:cs="Arial"/>
          <w:sz w:val="24"/>
        </w:rPr>
        <w:t>Rauth</w:t>
      </w:r>
      <w:r w:rsidR="00D707C9">
        <w:rPr>
          <w:rFonts w:ascii="Arial" w:hAnsi="Arial" w:cs="Arial"/>
          <w:sz w:val="24"/>
        </w:rPr>
        <w:t xml:space="preserve"> (</w:t>
      </w:r>
      <w:r w:rsidRPr="008C6165">
        <w:rPr>
          <w:rFonts w:ascii="Arial" w:hAnsi="Arial" w:cs="Arial"/>
          <w:sz w:val="24"/>
        </w:rPr>
        <w:t>2006</w:t>
      </w:r>
      <w:r w:rsidR="00D707C9">
        <w:rPr>
          <w:rFonts w:ascii="Arial" w:hAnsi="Arial" w:cs="Arial"/>
          <w:sz w:val="24"/>
        </w:rPr>
        <w:t>)</w:t>
      </w:r>
      <w:r w:rsidRPr="008C6165">
        <w:rPr>
          <w:rFonts w:ascii="Arial" w:hAnsi="Arial" w:cs="Arial"/>
          <w:sz w:val="24"/>
        </w:rPr>
        <w:t xml:space="preserve"> e Cohen</w:t>
      </w:r>
      <w:r w:rsidR="00D707C9">
        <w:rPr>
          <w:rFonts w:ascii="Arial" w:hAnsi="Arial" w:cs="Arial"/>
          <w:sz w:val="24"/>
        </w:rPr>
        <w:t xml:space="preserve"> (2008</w:t>
      </w:r>
      <w:r>
        <w:rPr>
          <w:rFonts w:ascii="Arial" w:hAnsi="Arial" w:cs="Arial"/>
          <w:sz w:val="24"/>
        </w:rPr>
        <w:t>)</w:t>
      </w:r>
      <w:r w:rsidR="00D707C9">
        <w:rPr>
          <w:rFonts w:ascii="Arial" w:hAnsi="Arial" w:cs="Arial"/>
          <w:sz w:val="24"/>
        </w:rPr>
        <w:t>]</w:t>
      </w:r>
      <w:r w:rsidR="0040132A" w:rsidRPr="008C6165">
        <w:rPr>
          <w:rFonts w:ascii="Arial" w:hAnsi="Arial" w:cs="Arial"/>
          <w:sz w:val="24"/>
        </w:rPr>
        <w:t xml:space="preserve">. </w:t>
      </w:r>
    </w:p>
    <w:p w:rsidR="00DA4486" w:rsidRDefault="00DA4486" w:rsidP="00A7550B">
      <w:pPr>
        <w:ind w:firstLine="708"/>
        <w:rPr>
          <w:rFonts w:ascii="Arial" w:hAnsi="Arial" w:cs="Arial"/>
          <w:sz w:val="24"/>
        </w:rPr>
      </w:pPr>
      <w:r>
        <w:rPr>
          <w:rFonts w:ascii="Arial" w:hAnsi="Arial" w:cs="Arial"/>
          <w:sz w:val="24"/>
        </w:rPr>
        <w:t>A luz deste tema, no Brasil, Miranda, Tomé e Gallon (2011), trazem que muitas empresas optam pela remuneração baseada em ações para seus funcionários. Tal remuneração pode, às vezes, vir agregada da obrigatoriedade de este ter de manter as ações sobre sua custódia por um período mínimo de tempo.</w:t>
      </w:r>
    </w:p>
    <w:p w:rsidR="00A7550B" w:rsidRDefault="00A7550B" w:rsidP="00A7550B">
      <w:pPr>
        <w:ind w:firstLine="708"/>
        <w:rPr>
          <w:rStyle w:val="Estilo11ptVermelho"/>
          <w:rFonts w:ascii="Arial" w:hAnsi="Arial" w:cs="Arial"/>
          <w:b/>
          <w:color w:val="auto"/>
          <w:sz w:val="24"/>
        </w:rPr>
      </w:pPr>
    </w:p>
    <w:p w:rsidR="006828BF" w:rsidRPr="00D9668F" w:rsidRDefault="005E1691" w:rsidP="00DB67D1">
      <w:pPr>
        <w:rPr>
          <w:rStyle w:val="Estilo11ptVermelho"/>
          <w:rFonts w:ascii="Arial" w:hAnsi="Arial" w:cs="Arial"/>
          <w:b/>
          <w:color w:val="auto"/>
          <w:sz w:val="24"/>
        </w:rPr>
      </w:pPr>
      <w:r>
        <w:rPr>
          <w:rStyle w:val="Estilo11ptVermelho"/>
          <w:rFonts w:ascii="Arial" w:hAnsi="Arial" w:cs="Arial"/>
          <w:b/>
          <w:color w:val="auto"/>
          <w:sz w:val="24"/>
        </w:rPr>
        <w:t>3</w:t>
      </w:r>
      <w:r w:rsidR="00B21CE2" w:rsidRPr="00D9668F">
        <w:rPr>
          <w:rStyle w:val="Estilo11ptVermelho"/>
          <w:rFonts w:ascii="Arial" w:hAnsi="Arial" w:cs="Arial"/>
          <w:b/>
          <w:color w:val="auto"/>
          <w:sz w:val="24"/>
        </w:rPr>
        <w:t>. APRESENTAÇÃO DOS DADOS E METODOLOGIA</w:t>
      </w:r>
    </w:p>
    <w:p w:rsidR="00B21CE2" w:rsidRDefault="005E1691" w:rsidP="00DB67D1">
      <w:pPr>
        <w:rPr>
          <w:rStyle w:val="Estilo11ptVermelho"/>
          <w:rFonts w:ascii="Arial" w:hAnsi="Arial" w:cs="Arial"/>
          <w:b/>
          <w:color w:val="auto"/>
          <w:sz w:val="24"/>
        </w:rPr>
      </w:pPr>
      <w:r>
        <w:rPr>
          <w:rStyle w:val="Estilo11ptVermelho"/>
          <w:rFonts w:ascii="Arial" w:hAnsi="Arial" w:cs="Arial"/>
          <w:b/>
          <w:color w:val="auto"/>
          <w:sz w:val="24"/>
        </w:rPr>
        <w:t>3</w:t>
      </w:r>
      <w:r w:rsidR="00B21CE2" w:rsidRPr="00D9668F">
        <w:rPr>
          <w:rStyle w:val="Estilo11ptVermelho"/>
          <w:rFonts w:ascii="Arial" w:hAnsi="Arial" w:cs="Arial"/>
          <w:b/>
          <w:color w:val="auto"/>
          <w:sz w:val="24"/>
        </w:rPr>
        <w:t>.1 APRESENTAÇÃO DOS DADOS</w:t>
      </w:r>
    </w:p>
    <w:p w:rsidR="00DB67D1" w:rsidRDefault="00BD21CA" w:rsidP="00DB67D1">
      <w:pPr>
        <w:ind w:firstLine="708"/>
        <w:rPr>
          <w:rFonts w:ascii="Arial" w:hAnsi="Arial" w:cs="Arial"/>
          <w:sz w:val="24"/>
        </w:rPr>
      </w:pPr>
      <w:r>
        <w:rPr>
          <w:rFonts w:ascii="Arial" w:hAnsi="Arial" w:cs="Arial"/>
          <w:sz w:val="24"/>
        </w:rPr>
        <w:t xml:space="preserve">Utilizamos no nosso estudo uma amostra da custódia de </w:t>
      </w:r>
      <w:r w:rsidR="008A2572">
        <w:rPr>
          <w:rFonts w:ascii="Arial" w:hAnsi="Arial" w:cs="Arial"/>
          <w:sz w:val="24"/>
        </w:rPr>
        <w:t>86</w:t>
      </w:r>
      <w:r>
        <w:rPr>
          <w:rFonts w:ascii="Arial" w:hAnsi="Arial" w:cs="Arial"/>
          <w:sz w:val="24"/>
        </w:rPr>
        <w:t xml:space="preserve"> clientes de uma corretora de valores </w:t>
      </w:r>
      <w:r w:rsidR="008C4D85">
        <w:rPr>
          <w:rFonts w:ascii="Arial" w:hAnsi="Arial" w:cs="Arial"/>
          <w:sz w:val="24"/>
        </w:rPr>
        <w:t xml:space="preserve">mobiliários de grande porte, e </w:t>
      </w:r>
      <w:r>
        <w:rPr>
          <w:rFonts w:ascii="Arial" w:hAnsi="Arial" w:cs="Arial"/>
          <w:sz w:val="24"/>
        </w:rPr>
        <w:t>que opera na Bolsa de Valores de São Paulo</w:t>
      </w:r>
      <w:r w:rsidR="008258BD">
        <w:rPr>
          <w:rFonts w:ascii="Arial" w:hAnsi="Arial" w:cs="Arial"/>
          <w:sz w:val="24"/>
        </w:rPr>
        <w:t xml:space="preserve"> (BM&amp;F Bovespa)</w:t>
      </w:r>
      <w:r>
        <w:rPr>
          <w:rFonts w:ascii="Arial" w:hAnsi="Arial" w:cs="Arial"/>
          <w:sz w:val="24"/>
        </w:rPr>
        <w:t xml:space="preserve">. Esta amostra </w:t>
      </w:r>
      <w:r w:rsidR="008C4D85">
        <w:rPr>
          <w:rFonts w:ascii="Arial" w:hAnsi="Arial" w:cs="Arial"/>
          <w:sz w:val="24"/>
        </w:rPr>
        <w:t>é</w:t>
      </w:r>
      <w:r>
        <w:rPr>
          <w:rFonts w:ascii="Arial" w:hAnsi="Arial" w:cs="Arial"/>
          <w:sz w:val="24"/>
        </w:rPr>
        <w:t xml:space="preserve"> uma </w:t>
      </w:r>
      <w:r w:rsidR="00AE5190">
        <w:rPr>
          <w:rFonts w:ascii="Arial" w:hAnsi="Arial" w:cs="Arial"/>
          <w:sz w:val="24"/>
        </w:rPr>
        <w:t xml:space="preserve">fotografia do portfólio dos clientes da amostra </w:t>
      </w:r>
      <w:r>
        <w:rPr>
          <w:rFonts w:ascii="Arial" w:hAnsi="Arial" w:cs="Arial"/>
          <w:sz w:val="24"/>
        </w:rPr>
        <w:t>do último dia do mês de junho de 2015.</w:t>
      </w:r>
    </w:p>
    <w:p w:rsidR="00E07838" w:rsidRDefault="005F2CBE" w:rsidP="00DB67D1">
      <w:pPr>
        <w:ind w:firstLine="708"/>
        <w:rPr>
          <w:rFonts w:ascii="Arial" w:hAnsi="Arial" w:cs="Arial"/>
          <w:sz w:val="24"/>
        </w:rPr>
      </w:pPr>
      <w:r>
        <w:rPr>
          <w:rFonts w:ascii="Arial" w:hAnsi="Arial" w:cs="Arial"/>
          <w:sz w:val="24"/>
        </w:rPr>
        <w:lastRenderedPageBreak/>
        <w:t xml:space="preserve">Quanto </w:t>
      </w:r>
      <w:r w:rsidR="007722A6">
        <w:rPr>
          <w:rFonts w:ascii="Arial" w:hAnsi="Arial" w:cs="Arial"/>
          <w:sz w:val="24"/>
        </w:rPr>
        <w:t>à</w:t>
      </w:r>
      <w:r w:rsidR="00F473D4">
        <w:rPr>
          <w:rFonts w:ascii="Arial" w:hAnsi="Arial" w:cs="Arial"/>
          <w:sz w:val="24"/>
        </w:rPr>
        <w:t xml:space="preserve"> amostra, </w:t>
      </w:r>
      <w:r w:rsidR="00E07838">
        <w:rPr>
          <w:rFonts w:ascii="Arial" w:hAnsi="Arial" w:cs="Arial"/>
          <w:sz w:val="24"/>
        </w:rPr>
        <w:t>restringimos a seleção de forma que metade fosse de clientes que trabalham em empresas de capital aberto e a outra metade não. Após esta restrição, selecionamos aleatoriamente os clientes que comporam a amostra</w:t>
      </w:r>
      <w:r w:rsidR="008258BD">
        <w:rPr>
          <w:rFonts w:ascii="Arial" w:hAnsi="Arial" w:cs="Arial"/>
          <w:sz w:val="24"/>
        </w:rPr>
        <w:t xml:space="preserve">, resultando em </w:t>
      </w:r>
      <w:r w:rsidR="008A2572">
        <w:rPr>
          <w:rFonts w:ascii="Arial" w:hAnsi="Arial" w:cs="Arial"/>
          <w:sz w:val="24"/>
        </w:rPr>
        <w:t>quarenta e três</w:t>
      </w:r>
      <w:r w:rsidR="00F473D4">
        <w:rPr>
          <w:rFonts w:ascii="Arial" w:hAnsi="Arial" w:cs="Arial"/>
          <w:sz w:val="24"/>
        </w:rPr>
        <w:t xml:space="preserve"> que indicaram trabalhar em alguma empresa de capital aberto</w:t>
      </w:r>
      <w:r w:rsidR="00C508FB">
        <w:rPr>
          <w:rFonts w:ascii="Arial" w:hAnsi="Arial" w:cs="Arial"/>
          <w:sz w:val="24"/>
        </w:rPr>
        <w:t xml:space="preserve">, totalizando </w:t>
      </w:r>
      <w:r w:rsidR="008A2572">
        <w:rPr>
          <w:rFonts w:ascii="Arial" w:hAnsi="Arial" w:cs="Arial"/>
          <w:sz w:val="24"/>
        </w:rPr>
        <w:t xml:space="preserve">trinta e nove </w:t>
      </w:r>
      <w:r w:rsidR="00C508FB">
        <w:rPr>
          <w:rFonts w:ascii="Arial" w:hAnsi="Arial" w:cs="Arial"/>
          <w:sz w:val="24"/>
        </w:rPr>
        <w:t>empresas diferentes</w:t>
      </w:r>
      <w:r w:rsidR="007722A6">
        <w:rPr>
          <w:rFonts w:ascii="Arial" w:hAnsi="Arial" w:cs="Arial"/>
          <w:sz w:val="24"/>
        </w:rPr>
        <w:t xml:space="preserve"> e </w:t>
      </w:r>
      <w:r w:rsidR="00E07838">
        <w:rPr>
          <w:rFonts w:ascii="Arial" w:hAnsi="Arial" w:cs="Arial"/>
          <w:sz w:val="24"/>
        </w:rPr>
        <w:t xml:space="preserve">outros quarenta </w:t>
      </w:r>
      <w:r w:rsidR="008A2572">
        <w:rPr>
          <w:rFonts w:ascii="Arial" w:hAnsi="Arial" w:cs="Arial"/>
          <w:sz w:val="24"/>
        </w:rPr>
        <w:t>três</w:t>
      </w:r>
      <w:r w:rsidR="00E07838">
        <w:rPr>
          <w:rFonts w:ascii="Arial" w:hAnsi="Arial" w:cs="Arial"/>
          <w:sz w:val="24"/>
        </w:rPr>
        <w:t xml:space="preserve"> </w:t>
      </w:r>
      <w:r w:rsidR="00C508FB">
        <w:rPr>
          <w:rFonts w:ascii="Arial" w:hAnsi="Arial" w:cs="Arial"/>
          <w:sz w:val="24"/>
        </w:rPr>
        <w:t xml:space="preserve">que </w:t>
      </w:r>
      <w:r w:rsidR="00F473D4">
        <w:rPr>
          <w:rFonts w:ascii="Arial" w:hAnsi="Arial" w:cs="Arial"/>
          <w:sz w:val="24"/>
        </w:rPr>
        <w:t>indicaram trabalhar em alguma outra empresa que não possui capital aberto.</w:t>
      </w:r>
    </w:p>
    <w:p w:rsidR="00DB67D1" w:rsidRDefault="00E07838" w:rsidP="00DB67D1">
      <w:pPr>
        <w:ind w:firstLine="708"/>
        <w:rPr>
          <w:rFonts w:ascii="Arial" w:hAnsi="Arial" w:cs="Arial"/>
          <w:sz w:val="24"/>
        </w:rPr>
      </w:pPr>
      <w:r>
        <w:rPr>
          <w:rFonts w:ascii="Arial" w:hAnsi="Arial" w:cs="Arial"/>
          <w:sz w:val="24"/>
        </w:rPr>
        <w:t xml:space="preserve"> </w:t>
      </w:r>
      <w:r w:rsidR="008C4D85">
        <w:rPr>
          <w:rFonts w:ascii="Arial" w:hAnsi="Arial" w:cs="Arial"/>
          <w:sz w:val="24"/>
        </w:rPr>
        <w:t xml:space="preserve">O número de </w:t>
      </w:r>
      <w:r w:rsidR="005F2CBE">
        <w:rPr>
          <w:rFonts w:ascii="Arial" w:hAnsi="Arial" w:cs="Arial"/>
          <w:sz w:val="24"/>
        </w:rPr>
        <w:t xml:space="preserve">diferentes </w:t>
      </w:r>
      <w:r w:rsidR="008C4D85">
        <w:rPr>
          <w:rFonts w:ascii="Arial" w:hAnsi="Arial" w:cs="Arial"/>
          <w:sz w:val="24"/>
        </w:rPr>
        <w:t xml:space="preserve">tipos </w:t>
      </w:r>
      <w:r w:rsidR="00CD3673">
        <w:rPr>
          <w:rFonts w:ascii="Arial" w:hAnsi="Arial" w:cs="Arial"/>
          <w:sz w:val="24"/>
        </w:rPr>
        <w:t xml:space="preserve">de </w:t>
      </w:r>
      <w:r w:rsidR="008A2572">
        <w:rPr>
          <w:rFonts w:ascii="Arial" w:hAnsi="Arial" w:cs="Arial"/>
          <w:sz w:val="24"/>
        </w:rPr>
        <w:t>ativos</w:t>
      </w:r>
      <w:r w:rsidR="00CD3673">
        <w:rPr>
          <w:rFonts w:ascii="Arial" w:hAnsi="Arial" w:cs="Arial"/>
          <w:sz w:val="24"/>
        </w:rPr>
        <w:t xml:space="preserve"> em posse de investidores foi da ordem de </w:t>
      </w:r>
      <w:r w:rsidR="008A2572">
        <w:rPr>
          <w:rFonts w:ascii="Arial" w:hAnsi="Arial" w:cs="Arial"/>
          <w:sz w:val="24"/>
        </w:rPr>
        <w:t>128 (12</w:t>
      </w:r>
      <w:r w:rsidR="008258BD">
        <w:rPr>
          <w:rFonts w:ascii="Arial" w:hAnsi="Arial" w:cs="Arial"/>
          <w:sz w:val="24"/>
        </w:rPr>
        <w:t>1</w:t>
      </w:r>
      <w:r w:rsidR="00CD3673">
        <w:rPr>
          <w:rFonts w:ascii="Arial" w:hAnsi="Arial" w:cs="Arial"/>
          <w:sz w:val="24"/>
        </w:rPr>
        <w:t xml:space="preserve"> diferentes</w:t>
      </w:r>
      <w:r w:rsidR="008A2572">
        <w:rPr>
          <w:rFonts w:ascii="Arial" w:hAnsi="Arial" w:cs="Arial"/>
          <w:sz w:val="24"/>
        </w:rPr>
        <w:t>)</w:t>
      </w:r>
      <w:r w:rsidR="00CD3673">
        <w:rPr>
          <w:rFonts w:ascii="Arial" w:hAnsi="Arial" w:cs="Arial"/>
          <w:sz w:val="24"/>
        </w:rPr>
        <w:t>.</w:t>
      </w:r>
    </w:p>
    <w:p w:rsidR="002F40F5" w:rsidRDefault="00F473D4" w:rsidP="002F40F5">
      <w:pPr>
        <w:ind w:firstLine="708"/>
        <w:rPr>
          <w:rFonts w:ascii="Arial" w:hAnsi="Arial" w:cs="Arial"/>
          <w:sz w:val="24"/>
        </w:rPr>
      </w:pPr>
      <w:r w:rsidRPr="005559F2">
        <w:rPr>
          <w:rFonts w:ascii="Arial" w:hAnsi="Arial" w:cs="Arial"/>
          <w:sz w:val="24"/>
        </w:rPr>
        <w:t xml:space="preserve">Sobre as características da amostra, </w:t>
      </w:r>
      <w:r w:rsidR="00823BBB" w:rsidRPr="005559F2">
        <w:rPr>
          <w:rFonts w:ascii="Arial" w:hAnsi="Arial" w:cs="Arial"/>
          <w:sz w:val="24"/>
        </w:rPr>
        <w:t>8</w:t>
      </w:r>
      <w:r w:rsidR="008258BD">
        <w:rPr>
          <w:rFonts w:ascii="Arial" w:hAnsi="Arial" w:cs="Arial"/>
          <w:sz w:val="24"/>
        </w:rPr>
        <w:t>4,5</w:t>
      </w:r>
      <w:r w:rsidRPr="005559F2">
        <w:rPr>
          <w:rFonts w:ascii="Arial" w:hAnsi="Arial" w:cs="Arial"/>
          <w:sz w:val="24"/>
        </w:rPr>
        <w:t xml:space="preserve">% são homens, e com </w:t>
      </w:r>
      <w:r w:rsidR="005559F2" w:rsidRPr="005559F2">
        <w:rPr>
          <w:rFonts w:ascii="Arial" w:hAnsi="Arial" w:cs="Arial"/>
          <w:sz w:val="24"/>
        </w:rPr>
        <w:t>faixa etária predominante acima de 56 anos</w:t>
      </w:r>
      <w:r w:rsidRPr="005559F2">
        <w:rPr>
          <w:rFonts w:ascii="Arial" w:hAnsi="Arial" w:cs="Arial"/>
          <w:sz w:val="24"/>
        </w:rPr>
        <w:t xml:space="preserve">. Essas características </w:t>
      </w:r>
      <w:r w:rsidR="00AE5190">
        <w:rPr>
          <w:rFonts w:ascii="Arial" w:hAnsi="Arial" w:cs="Arial"/>
          <w:sz w:val="24"/>
        </w:rPr>
        <w:t>apresentam a mesma estrutura demográfica</w:t>
      </w:r>
      <w:r w:rsidRPr="005559F2">
        <w:rPr>
          <w:rFonts w:ascii="Arial" w:hAnsi="Arial" w:cs="Arial"/>
          <w:sz w:val="24"/>
        </w:rPr>
        <w:t xml:space="preserve"> dos investidores do mercado brasileiro de açõe</w:t>
      </w:r>
      <w:r w:rsidR="00A30D8B">
        <w:rPr>
          <w:rFonts w:ascii="Arial" w:hAnsi="Arial" w:cs="Arial"/>
          <w:sz w:val="24"/>
        </w:rPr>
        <w:t>s, conforme informativo da BM&amp;F</w:t>
      </w:r>
      <w:r w:rsidRPr="005559F2">
        <w:rPr>
          <w:rFonts w:ascii="Arial" w:hAnsi="Arial" w:cs="Arial"/>
          <w:sz w:val="24"/>
        </w:rPr>
        <w:t xml:space="preserve">Bovespa de </w:t>
      </w:r>
      <w:r w:rsidR="000C1C5A" w:rsidRPr="005559F2">
        <w:rPr>
          <w:rFonts w:ascii="Arial" w:hAnsi="Arial" w:cs="Arial"/>
          <w:sz w:val="24"/>
        </w:rPr>
        <w:t>junho de 2015</w:t>
      </w:r>
      <w:r w:rsidRPr="005559F2">
        <w:rPr>
          <w:rFonts w:ascii="Arial" w:hAnsi="Arial" w:cs="Arial"/>
          <w:sz w:val="24"/>
        </w:rPr>
        <w:t>.</w:t>
      </w:r>
      <w:r w:rsidR="00E07838">
        <w:rPr>
          <w:rFonts w:ascii="Arial" w:hAnsi="Arial" w:cs="Arial"/>
          <w:sz w:val="24"/>
        </w:rPr>
        <w:t xml:space="preserve"> </w:t>
      </w:r>
    </w:p>
    <w:tbl>
      <w:tblPr>
        <w:tblW w:w="6680" w:type="dxa"/>
        <w:jc w:val="center"/>
        <w:tblInd w:w="53" w:type="dxa"/>
        <w:tblCellMar>
          <w:left w:w="70" w:type="dxa"/>
          <w:right w:w="70" w:type="dxa"/>
        </w:tblCellMar>
        <w:tblLook w:val="04A0" w:firstRow="1" w:lastRow="0" w:firstColumn="1" w:lastColumn="0" w:noHBand="0" w:noVBand="1"/>
      </w:tblPr>
      <w:tblGrid>
        <w:gridCol w:w="2120"/>
        <w:gridCol w:w="2120"/>
        <w:gridCol w:w="2440"/>
      </w:tblGrid>
      <w:tr w:rsidR="002F40F5" w:rsidRPr="002F40F5" w:rsidTr="003D3DF7">
        <w:trPr>
          <w:trHeight w:val="315"/>
          <w:jc w:val="center"/>
        </w:trPr>
        <w:tc>
          <w:tcPr>
            <w:tcW w:w="4240" w:type="dxa"/>
            <w:gridSpan w:val="2"/>
            <w:tcBorders>
              <w:top w:val="nil"/>
              <w:left w:val="nil"/>
              <w:bottom w:val="double" w:sz="6" w:space="0" w:color="auto"/>
              <w:right w:val="nil"/>
            </w:tcBorders>
            <w:shd w:val="clear" w:color="000000" w:fill="FFFFFF"/>
            <w:noWrap/>
            <w:vAlign w:val="bottom"/>
            <w:hideMark/>
          </w:tcPr>
          <w:p w:rsidR="002F40F5" w:rsidRPr="002F40F5" w:rsidRDefault="002F40F5" w:rsidP="002F40F5">
            <w:pPr>
              <w:spacing w:after="0" w:line="240" w:lineRule="auto"/>
              <w:jc w:val="left"/>
              <w:rPr>
                <w:rFonts w:ascii="Calibri" w:hAnsi="Calibri"/>
                <w:b/>
                <w:bCs/>
                <w:color w:val="000000"/>
                <w:szCs w:val="20"/>
                <w:lang w:eastAsia="pt-BR"/>
              </w:rPr>
            </w:pPr>
            <w:r w:rsidRPr="002F40F5">
              <w:rPr>
                <w:rFonts w:ascii="Calibri" w:hAnsi="Calibri"/>
                <w:b/>
                <w:bCs/>
                <w:color w:val="000000"/>
                <w:szCs w:val="20"/>
                <w:lang w:eastAsia="pt-BR"/>
              </w:rPr>
              <w:t>Tabela 1: Perfil da amostra</w:t>
            </w:r>
          </w:p>
        </w:tc>
        <w:tc>
          <w:tcPr>
            <w:tcW w:w="2440" w:type="dxa"/>
            <w:tcBorders>
              <w:top w:val="nil"/>
              <w:left w:val="nil"/>
              <w:bottom w:val="double" w:sz="6" w:space="0" w:color="auto"/>
              <w:right w:val="nil"/>
            </w:tcBorders>
            <w:shd w:val="clear" w:color="000000" w:fill="FFFFFF"/>
            <w:noWrap/>
            <w:vAlign w:val="bottom"/>
            <w:hideMark/>
          </w:tcPr>
          <w:p w:rsidR="002F40F5" w:rsidRPr="002F40F5" w:rsidRDefault="002F40F5" w:rsidP="002F40F5">
            <w:pPr>
              <w:spacing w:after="0" w:line="240" w:lineRule="auto"/>
              <w:jc w:val="left"/>
              <w:rPr>
                <w:rFonts w:ascii="Calibri" w:hAnsi="Calibri"/>
                <w:b/>
                <w:bCs/>
                <w:color w:val="000000"/>
                <w:szCs w:val="20"/>
                <w:lang w:eastAsia="pt-BR"/>
              </w:rPr>
            </w:pPr>
            <w:r w:rsidRPr="002F40F5">
              <w:rPr>
                <w:rFonts w:ascii="Calibri" w:hAnsi="Calibri"/>
                <w:b/>
                <w:bCs/>
                <w:color w:val="000000"/>
                <w:szCs w:val="20"/>
                <w:lang w:eastAsia="pt-BR"/>
              </w:rPr>
              <w:t> </w:t>
            </w:r>
          </w:p>
        </w:tc>
      </w:tr>
      <w:tr w:rsidR="002F40F5" w:rsidRPr="002F40F5" w:rsidTr="003D3DF7">
        <w:trPr>
          <w:trHeight w:val="360"/>
          <w:jc w:val="center"/>
        </w:trPr>
        <w:tc>
          <w:tcPr>
            <w:tcW w:w="2120" w:type="dxa"/>
            <w:tcBorders>
              <w:top w:val="nil"/>
              <w:left w:val="nil"/>
              <w:bottom w:val="double" w:sz="6" w:space="0" w:color="auto"/>
              <w:right w:val="nil"/>
            </w:tcBorders>
            <w:shd w:val="clear" w:color="000000" w:fill="BFBFBF"/>
            <w:vAlign w:val="bottom"/>
            <w:hideMark/>
          </w:tcPr>
          <w:p w:rsidR="002F40F5" w:rsidRPr="002F40F5" w:rsidRDefault="002F40F5" w:rsidP="002F40F5">
            <w:pPr>
              <w:spacing w:after="0" w:line="240" w:lineRule="auto"/>
              <w:jc w:val="right"/>
              <w:rPr>
                <w:rFonts w:ascii="Calibri" w:hAnsi="Calibri"/>
                <w:color w:val="000000"/>
                <w:sz w:val="18"/>
                <w:szCs w:val="18"/>
                <w:lang w:eastAsia="pt-BR"/>
              </w:rPr>
            </w:pPr>
            <w:r w:rsidRPr="002F40F5">
              <w:rPr>
                <w:rFonts w:ascii="Calibri" w:hAnsi="Calibri"/>
                <w:color w:val="000000"/>
                <w:sz w:val="18"/>
                <w:szCs w:val="18"/>
                <w:lang w:eastAsia="pt-BR"/>
              </w:rPr>
              <w:t> </w:t>
            </w:r>
          </w:p>
        </w:tc>
        <w:tc>
          <w:tcPr>
            <w:tcW w:w="2120" w:type="dxa"/>
            <w:tcBorders>
              <w:top w:val="nil"/>
              <w:left w:val="nil"/>
              <w:bottom w:val="double" w:sz="6" w:space="0" w:color="auto"/>
              <w:right w:val="nil"/>
            </w:tcBorders>
            <w:shd w:val="clear" w:color="000000" w:fill="BFBFBF"/>
            <w:vAlign w:val="bottom"/>
            <w:hideMark/>
          </w:tcPr>
          <w:p w:rsidR="002F40F5" w:rsidRPr="002F40F5" w:rsidRDefault="002F40F5" w:rsidP="002F40F5">
            <w:pPr>
              <w:spacing w:after="0" w:line="240" w:lineRule="auto"/>
              <w:jc w:val="right"/>
              <w:rPr>
                <w:rFonts w:ascii="Calibri" w:hAnsi="Calibri"/>
                <w:color w:val="000000"/>
                <w:sz w:val="18"/>
                <w:szCs w:val="18"/>
                <w:lang w:eastAsia="pt-BR"/>
              </w:rPr>
            </w:pPr>
            <w:r w:rsidRPr="002F40F5">
              <w:rPr>
                <w:rFonts w:ascii="Calibri" w:hAnsi="Calibri"/>
                <w:color w:val="000000"/>
                <w:sz w:val="18"/>
                <w:szCs w:val="18"/>
                <w:lang w:eastAsia="pt-BR"/>
              </w:rPr>
              <w:t>% Total BM&amp;FBovespa</w:t>
            </w:r>
          </w:p>
        </w:tc>
        <w:tc>
          <w:tcPr>
            <w:tcW w:w="2440" w:type="dxa"/>
            <w:tcBorders>
              <w:top w:val="nil"/>
              <w:left w:val="nil"/>
              <w:bottom w:val="double" w:sz="6" w:space="0" w:color="auto"/>
              <w:right w:val="nil"/>
            </w:tcBorders>
            <w:shd w:val="clear" w:color="000000" w:fill="BFBFBF"/>
            <w:vAlign w:val="bottom"/>
            <w:hideMark/>
          </w:tcPr>
          <w:p w:rsidR="002F40F5" w:rsidRPr="002F40F5" w:rsidRDefault="002F40F5" w:rsidP="002F40F5">
            <w:pPr>
              <w:spacing w:after="0" w:line="240" w:lineRule="auto"/>
              <w:jc w:val="right"/>
              <w:rPr>
                <w:rFonts w:ascii="Calibri" w:hAnsi="Calibri"/>
                <w:color w:val="000000"/>
                <w:sz w:val="18"/>
                <w:szCs w:val="18"/>
                <w:lang w:eastAsia="pt-BR"/>
              </w:rPr>
            </w:pPr>
            <w:r w:rsidRPr="002F40F5">
              <w:rPr>
                <w:rFonts w:ascii="Calibri" w:hAnsi="Calibri"/>
                <w:color w:val="000000"/>
                <w:sz w:val="18"/>
                <w:szCs w:val="18"/>
                <w:lang w:eastAsia="pt-BR"/>
              </w:rPr>
              <w:t>% Total da amostra</w:t>
            </w:r>
          </w:p>
        </w:tc>
      </w:tr>
      <w:tr w:rsidR="002F40F5" w:rsidRPr="002F40F5" w:rsidTr="003D3DF7">
        <w:trPr>
          <w:trHeight w:val="315"/>
          <w:jc w:val="center"/>
        </w:trPr>
        <w:tc>
          <w:tcPr>
            <w:tcW w:w="2120" w:type="dxa"/>
            <w:tcBorders>
              <w:top w:val="nil"/>
              <w:left w:val="nil"/>
              <w:bottom w:val="nil"/>
              <w:right w:val="nil"/>
            </w:tcBorders>
            <w:shd w:val="clear" w:color="000000" w:fill="FFFFFF"/>
            <w:noWrap/>
            <w:vAlign w:val="bottom"/>
            <w:hideMark/>
          </w:tcPr>
          <w:p w:rsidR="002F40F5" w:rsidRPr="002F40F5" w:rsidRDefault="002F40F5" w:rsidP="002F40F5">
            <w:pPr>
              <w:spacing w:after="0" w:line="240" w:lineRule="auto"/>
              <w:jc w:val="left"/>
              <w:rPr>
                <w:rFonts w:ascii="Calibri" w:hAnsi="Calibri"/>
                <w:color w:val="000000"/>
                <w:sz w:val="18"/>
                <w:szCs w:val="18"/>
                <w:lang w:eastAsia="pt-BR"/>
              </w:rPr>
            </w:pPr>
            <w:r w:rsidRPr="002F40F5">
              <w:rPr>
                <w:rFonts w:ascii="Calibri" w:hAnsi="Calibri"/>
                <w:color w:val="000000"/>
                <w:sz w:val="18"/>
                <w:szCs w:val="18"/>
                <w:lang w:eastAsia="pt-BR"/>
              </w:rPr>
              <w:t>Homens</w:t>
            </w:r>
          </w:p>
        </w:tc>
        <w:tc>
          <w:tcPr>
            <w:tcW w:w="2120" w:type="dxa"/>
            <w:tcBorders>
              <w:top w:val="nil"/>
              <w:left w:val="nil"/>
              <w:bottom w:val="nil"/>
              <w:right w:val="nil"/>
            </w:tcBorders>
            <w:shd w:val="clear" w:color="000000" w:fill="FFFFFF"/>
            <w:noWrap/>
            <w:vAlign w:val="bottom"/>
            <w:hideMark/>
          </w:tcPr>
          <w:p w:rsidR="002F40F5" w:rsidRPr="002F40F5" w:rsidRDefault="002F40F5" w:rsidP="002F40F5">
            <w:pPr>
              <w:spacing w:after="0" w:line="240" w:lineRule="auto"/>
              <w:jc w:val="right"/>
              <w:rPr>
                <w:rFonts w:ascii="Calibri" w:hAnsi="Calibri"/>
                <w:color w:val="000000"/>
                <w:sz w:val="18"/>
                <w:szCs w:val="18"/>
                <w:lang w:eastAsia="pt-BR"/>
              </w:rPr>
            </w:pPr>
            <w:r w:rsidRPr="002F40F5">
              <w:rPr>
                <w:rFonts w:ascii="Calibri" w:hAnsi="Calibri"/>
                <w:color w:val="000000"/>
                <w:sz w:val="18"/>
                <w:szCs w:val="18"/>
                <w:lang w:eastAsia="pt-BR"/>
              </w:rPr>
              <w:t>75,84%</w:t>
            </w:r>
          </w:p>
        </w:tc>
        <w:tc>
          <w:tcPr>
            <w:tcW w:w="2440" w:type="dxa"/>
            <w:tcBorders>
              <w:top w:val="nil"/>
              <w:left w:val="nil"/>
              <w:bottom w:val="nil"/>
              <w:right w:val="nil"/>
            </w:tcBorders>
            <w:shd w:val="clear" w:color="000000" w:fill="FFFFFF"/>
            <w:vAlign w:val="bottom"/>
            <w:hideMark/>
          </w:tcPr>
          <w:p w:rsidR="002F40F5" w:rsidRPr="002F40F5" w:rsidRDefault="002F40F5" w:rsidP="002F40F5">
            <w:pPr>
              <w:spacing w:after="0" w:line="240" w:lineRule="auto"/>
              <w:jc w:val="right"/>
              <w:rPr>
                <w:rFonts w:ascii="Calibri" w:hAnsi="Calibri"/>
                <w:color w:val="000000"/>
                <w:sz w:val="18"/>
                <w:szCs w:val="18"/>
                <w:lang w:eastAsia="pt-BR"/>
              </w:rPr>
            </w:pPr>
            <w:r w:rsidRPr="002F40F5">
              <w:rPr>
                <w:rFonts w:ascii="Calibri" w:hAnsi="Calibri"/>
                <w:color w:val="000000"/>
                <w:sz w:val="18"/>
                <w:szCs w:val="18"/>
                <w:lang w:eastAsia="pt-BR"/>
              </w:rPr>
              <w:t>84,50%</w:t>
            </w:r>
          </w:p>
        </w:tc>
      </w:tr>
      <w:tr w:rsidR="002F40F5" w:rsidRPr="002F40F5" w:rsidTr="003D3DF7">
        <w:trPr>
          <w:trHeight w:val="300"/>
          <w:jc w:val="center"/>
        </w:trPr>
        <w:tc>
          <w:tcPr>
            <w:tcW w:w="2120" w:type="dxa"/>
            <w:tcBorders>
              <w:top w:val="nil"/>
              <w:left w:val="nil"/>
              <w:bottom w:val="nil"/>
              <w:right w:val="nil"/>
            </w:tcBorders>
            <w:shd w:val="clear" w:color="000000" w:fill="FFFFFF"/>
            <w:vAlign w:val="bottom"/>
            <w:hideMark/>
          </w:tcPr>
          <w:p w:rsidR="002F40F5" w:rsidRPr="002F40F5" w:rsidRDefault="002F40F5" w:rsidP="002F40F5">
            <w:pPr>
              <w:spacing w:after="0" w:line="240" w:lineRule="auto"/>
              <w:jc w:val="left"/>
              <w:rPr>
                <w:rFonts w:ascii="Calibri" w:hAnsi="Calibri"/>
                <w:color w:val="000000"/>
                <w:sz w:val="18"/>
                <w:szCs w:val="18"/>
                <w:lang w:eastAsia="pt-BR"/>
              </w:rPr>
            </w:pPr>
            <w:r w:rsidRPr="002F40F5">
              <w:rPr>
                <w:rFonts w:ascii="Calibri" w:hAnsi="Calibri"/>
                <w:color w:val="000000"/>
                <w:sz w:val="18"/>
                <w:szCs w:val="18"/>
                <w:lang w:eastAsia="pt-BR"/>
              </w:rPr>
              <w:t>Até 15 anos</w:t>
            </w:r>
          </w:p>
        </w:tc>
        <w:tc>
          <w:tcPr>
            <w:tcW w:w="2120" w:type="dxa"/>
            <w:tcBorders>
              <w:top w:val="nil"/>
              <w:left w:val="nil"/>
              <w:bottom w:val="nil"/>
              <w:right w:val="nil"/>
            </w:tcBorders>
            <w:shd w:val="clear" w:color="000000" w:fill="FFFFFF"/>
            <w:noWrap/>
            <w:vAlign w:val="bottom"/>
            <w:hideMark/>
          </w:tcPr>
          <w:p w:rsidR="002F40F5" w:rsidRPr="002F40F5" w:rsidRDefault="002F40F5" w:rsidP="002F40F5">
            <w:pPr>
              <w:spacing w:after="0" w:line="240" w:lineRule="auto"/>
              <w:jc w:val="right"/>
              <w:rPr>
                <w:rFonts w:ascii="Calibri" w:hAnsi="Calibri"/>
                <w:color w:val="000000"/>
                <w:sz w:val="18"/>
                <w:szCs w:val="18"/>
                <w:lang w:eastAsia="pt-BR"/>
              </w:rPr>
            </w:pPr>
            <w:r w:rsidRPr="002F40F5">
              <w:rPr>
                <w:rFonts w:ascii="Calibri" w:hAnsi="Calibri"/>
                <w:color w:val="000000"/>
                <w:sz w:val="18"/>
                <w:szCs w:val="18"/>
                <w:lang w:eastAsia="pt-BR"/>
              </w:rPr>
              <w:t>0,60%</w:t>
            </w:r>
          </w:p>
        </w:tc>
        <w:tc>
          <w:tcPr>
            <w:tcW w:w="2440" w:type="dxa"/>
            <w:tcBorders>
              <w:top w:val="nil"/>
              <w:left w:val="nil"/>
              <w:bottom w:val="nil"/>
              <w:right w:val="nil"/>
            </w:tcBorders>
            <w:shd w:val="clear" w:color="000000" w:fill="FFFFFF"/>
            <w:noWrap/>
            <w:vAlign w:val="bottom"/>
            <w:hideMark/>
          </w:tcPr>
          <w:p w:rsidR="002F40F5" w:rsidRPr="002F40F5" w:rsidRDefault="002F40F5" w:rsidP="002F40F5">
            <w:pPr>
              <w:spacing w:after="0" w:line="240" w:lineRule="auto"/>
              <w:jc w:val="right"/>
              <w:rPr>
                <w:rFonts w:ascii="Calibri" w:hAnsi="Calibri"/>
                <w:color w:val="000000"/>
                <w:sz w:val="18"/>
                <w:szCs w:val="18"/>
                <w:lang w:eastAsia="pt-BR"/>
              </w:rPr>
            </w:pPr>
            <w:r w:rsidRPr="002F40F5">
              <w:rPr>
                <w:rFonts w:ascii="Calibri" w:hAnsi="Calibri"/>
                <w:color w:val="000000"/>
                <w:sz w:val="18"/>
                <w:szCs w:val="18"/>
                <w:lang w:eastAsia="pt-BR"/>
              </w:rPr>
              <w:t>0,00%</w:t>
            </w:r>
          </w:p>
        </w:tc>
      </w:tr>
      <w:tr w:rsidR="002F40F5" w:rsidRPr="002F40F5" w:rsidTr="003D3DF7">
        <w:trPr>
          <w:trHeight w:val="300"/>
          <w:jc w:val="center"/>
        </w:trPr>
        <w:tc>
          <w:tcPr>
            <w:tcW w:w="2120" w:type="dxa"/>
            <w:tcBorders>
              <w:top w:val="nil"/>
              <w:left w:val="nil"/>
              <w:bottom w:val="nil"/>
              <w:right w:val="nil"/>
            </w:tcBorders>
            <w:shd w:val="clear" w:color="000000" w:fill="FFFFFF"/>
            <w:vAlign w:val="bottom"/>
            <w:hideMark/>
          </w:tcPr>
          <w:p w:rsidR="002F40F5" w:rsidRPr="002F40F5" w:rsidRDefault="002F40F5" w:rsidP="002F40F5">
            <w:pPr>
              <w:spacing w:after="0" w:line="240" w:lineRule="auto"/>
              <w:jc w:val="left"/>
              <w:rPr>
                <w:rFonts w:ascii="Calibri" w:hAnsi="Calibri"/>
                <w:color w:val="000000"/>
                <w:sz w:val="18"/>
                <w:szCs w:val="18"/>
                <w:lang w:eastAsia="pt-BR"/>
              </w:rPr>
            </w:pPr>
            <w:r w:rsidRPr="002F40F5">
              <w:rPr>
                <w:rFonts w:ascii="Calibri" w:hAnsi="Calibri"/>
                <w:color w:val="000000"/>
                <w:sz w:val="18"/>
                <w:szCs w:val="18"/>
                <w:lang w:eastAsia="pt-BR"/>
              </w:rPr>
              <w:t>De 16 a 25 anos</w:t>
            </w:r>
          </w:p>
        </w:tc>
        <w:tc>
          <w:tcPr>
            <w:tcW w:w="2120" w:type="dxa"/>
            <w:tcBorders>
              <w:top w:val="nil"/>
              <w:left w:val="nil"/>
              <w:bottom w:val="nil"/>
              <w:right w:val="nil"/>
            </w:tcBorders>
            <w:shd w:val="clear" w:color="000000" w:fill="FFFFFF"/>
            <w:noWrap/>
            <w:vAlign w:val="bottom"/>
            <w:hideMark/>
          </w:tcPr>
          <w:p w:rsidR="002F40F5" w:rsidRPr="002F40F5" w:rsidRDefault="002F40F5" w:rsidP="002F40F5">
            <w:pPr>
              <w:spacing w:after="0" w:line="240" w:lineRule="auto"/>
              <w:jc w:val="right"/>
              <w:rPr>
                <w:rFonts w:ascii="Calibri" w:hAnsi="Calibri"/>
                <w:color w:val="000000"/>
                <w:sz w:val="18"/>
                <w:szCs w:val="18"/>
                <w:lang w:eastAsia="pt-BR"/>
              </w:rPr>
            </w:pPr>
            <w:r w:rsidRPr="002F40F5">
              <w:rPr>
                <w:rFonts w:ascii="Calibri" w:hAnsi="Calibri"/>
                <w:color w:val="000000"/>
                <w:sz w:val="18"/>
                <w:szCs w:val="18"/>
                <w:lang w:eastAsia="pt-BR"/>
              </w:rPr>
              <w:t>0,52%</w:t>
            </w:r>
          </w:p>
        </w:tc>
        <w:tc>
          <w:tcPr>
            <w:tcW w:w="2440" w:type="dxa"/>
            <w:tcBorders>
              <w:top w:val="nil"/>
              <w:left w:val="nil"/>
              <w:bottom w:val="nil"/>
              <w:right w:val="nil"/>
            </w:tcBorders>
            <w:shd w:val="clear" w:color="000000" w:fill="FFFFFF"/>
            <w:noWrap/>
            <w:vAlign w:val="bottom"/>
            <w:hideMark/>
          </w:tcPr>
          <w:p w:rsidR="002F40F5" w:rsidRPr="002F40F5" w:rsidRDefault="002F40F5" w:rsidP="002F40F5">
            <w:pPr>
              <w:spacing w:after="0" w:line="240" w:lineRule="auto"/>
              <w:jc w:val="right"/>
              <w:rPr>
                <w:rFonts w:ascii="Calibri" w:hAnsi="Calibri"/>
                <w:color w:val="000000"/>
                <w:sz w:val="18"/>
                <w:szCs w:val="18"/>
                <w:lang w:eastAsia="pt-BR"/>
              </w:rPr>
            </w:pPr>
            <w:r w:rsidRPr="002F40F5">
              <w:rPr>
                <w:rFonts w:ascii="Calibri" w:hAnsi="Calibri"/>
                <w:color w:val="000000"/>
                <w:sz w:val="18"/>
                <w:szCs w:val="18"/>
                <w:lang w:eastAsia="pt-BR"/>
              </w:rPr>
              <w:t>1,19%</w:t>
            </w:r>
          </w:p>
        </w:tc>
      </w:tr>
      <w:tr w:rsidR="002F40F5" w:rsidRPr="002F40F5" w:rsidTr="003D3DF7">
        <w:trPr>
          <w:trHeight w:val="300"/>
          <w:jc w:val="center"/>
        </w:trPr>
        <w:tc>
          <w:tcPr>
            <w:tcW w:w="2120" w:type="dxa"/>
            <w:tcBorders>
              <w:top w:val="nil"/>
              <w:left w:val="nil"/>
              <w:bottom w:val="nil"/>
              <w:right w:val="nil"/>
            </w:tcBorders>
            <w:shd w:val="clear" w:color="000000" w:fill="FFFFFF"/>
            <w:vAlign w:val="bottom"/>
            <w:hideMark/>
          </w:tcPr>
          <w:p w:rsidR="002F40F5" w:rsidRPr="002F40F5" w:rsidRDefault="002F40F5" w:rsidP="002F40F5">
            <w:pPr>
              <w:spacing w:after="0" w:line="240" w:lineRule="auto"/>
              <w:jc w:val="left"/>
              <w:rPr>
                <w:rFonts w:ascii="Calibri" w:hAnsi="Calibri"/>
                <w:color w:val="000000"/>
                <w:sz w:val="18"/>
                <w:szCs w:val="18"/>
                <w:lang w:eastAsia="pt-BR"/>
              </w:rPr>
            </w:pPr>
            <w:r w:rsidRPr="002F40F5">
              <w:rPr>
                <w:rFonts w:ascii="Calibri" w:hAnsi="Calibri"/>
                <w:color w:val="000000"/>
                <w:sz w:val="18"/>
                <w:szCs w:val="18"/>
                <w:lang w:eastAsia="pt-BR"/>
              </w:rPr>
              <w:t>De 26 a 35 anos</w:t>
            </w:r>
          </w:p>
        </w:tc>
        <w:tc>
          <w:tcPr>
            <w:tcW w:w="2120" w:type="dxa"/>
            <w:tcBorders>
              <w:top w:val="nil"/>
              <w:left w:val="nil"/>
              <w:bottom w:val="nil"/>
              <w:right w:val="nil"/>
            </w:tcBorders>
            <w:shd w:val="clear" w:color="000000" w:fill="FFFFFF"/>
            <w:noWrap/>
            <w:vAlign w:val="bottom"/>
            <w:hideMark/>
          </w:tcPr>
          <w:p w:rsidR="002F40F5" w:rsidRPr="002F40F5" w:rsidRDefault="002F40F5" w:rsidP="002F40F5">
            <w:pPr>
              <w:spacing w:after="0" w:line="240" w:lineRule="auto"/>
              <w:jc w:val="right"/>
              <w:rPr>
                <w:rFonts w:ascii="Calibri" w:hAnsi="Calibri"/>
                <w:color w:val="000000"/>
                <w:sz w:val="18"/>
                <w:szCs w:val="18"/>
                <w:lang w:eastAsia="pt-BR"/>
              </w:rPr>
            </w:pPr>
            <w:r w:rsidRPr="002F40F5">
              <w:rPr>
                <w:rFonts w:ascii="Calibri" w:hAnsi="Calibri"/>
                <w:color w:val="000000"/>
                <w:sz w:val="18"/>
                <w:szCs w:val="18"/>
                <w:lang w:eastAsia="pt-BR"/>
              </w:rPr>
              <w:t>3,80%</w:t>
            </w:r>
          </w:p>
        </w:tc>
        <w:tc>
          <w:tcPr>
            <w:tcW w:w="2440" w:type="dxa"/>
            <w:tcBorders>
              <w:top w:val="nil"/>
              <w:left w:val="nil"/>
              <w:bottom w:val="nil"/>
              <w:right w:val="nil"/>
            </w:tcBorders>
            <w:shd w:val="clear" w:color="000000" w:fill="FFFFFF"/>
            <w:noWrap/>
            <w:vAlign w:val="bottom"/>
            <w:hideMark/>
          </w:tcPr>
          <w:p w:rsidR="002F40F5" w:rsidRPr="002F40F5" w:rsidRDefault="002F40F5" w:rsidP="002F40F5">
            <w:pPr>
              <w:spacing w:after="0" w:line="240" w:lineRule="auto"/>
              <w:jc w:val="right"/>
              <w:rPr>
                <w:rFonts w:ascii="Calibri" w:hAnsi="Calibri"/>
                <w:color w:val="000000"/>
                <w:sz w:val="18"/>
                <w:szCs w:val="18"/>
                <w:lang w:eastAsia="pt-BR"/>
              </w:rPr>
            </w:pPr>
            <w:r w:rsidRPr="002F40F5">
              <w:rPr>
                <w:rFonts w:ascii="Calibri" w:hAnsi="Calibri"/>
                <w:color w:val="000000"/>
                <w:sz w:val="18"/>
                <w:szCs w:val="18"/>
                <w:lang w:eastAsia="pt-BR"/>
              </w:rPr>
              <w:t>3,57%</w:t>
            </w:r>
          </w:p>
        </w:tc>
      </w:tr>
      <w:tr w:rsidR="002F40F5" w:rsidRPr="002F40F5" w:rsidTr="003D3DF7">
        <w:trPr>
          <w:trHeight w:val="300"/>
          <w:jc w:val="center"/>
        </w:trPr>
        <w:tc>
          <w:tcPr>
            <w:tcW w:w="2120" w:type="dxa"/>
            <w:tcBorders>
              <w:top w:val="nil"/>
              <w:left w:val="nil"/>
              <w:bottom w:val="nil"/>
              <w:right w:val="nil"/>
            </w:tcBorders>
            <w:shd w:val="clear" w:color="000000" w:fill="FFFFFF"/>
            <w:vAlign w:val="bottom"/>
            <w:hideMark/>
          </w:tcPr>
          <w:p w:rsidR="002F40F5" w:rsidRPr="002F40F5" w:rsidRDefault="002F40F5" w:rsidP="002F40F5">
            <w:pPr>
              <w:spacing w:after="0" w:line="240" w:lineRule="auto"/>
              <w:jc w:val="left"/>
              <w:rPr>
                <w:rFonts w:ascii="Calibri" w:hAnsi="Calibri"/>
                <w:color w:val="000000"/>
                <w:sz w:val="18"/>
                <w:szCs w:val="18"/>
                <w:lang w:eastAsia="pt-BR"/>
              </w:rPr>
            </w:pPr>
            <w:r w:rsidRPr="002F40F5">
              <w:rPr>
                <w:rFonts w:ascii="Calibri" w:hAnsi="Calibri"/>
                <w:color w:val="000000"/>
                <w:sz w:val="18"/>
                <w:szCs w:val="18"/>
                <w:lang w:eastAsia="pt-BR"/>
              </w:rPr>
              <w:t>De 36 a 45 anos</w:t>
            </w:r>
          </w:p>
        </w:tc>
        <w:tc>
          <w:tcPr>
            <w:tcW w:w="2120" w:type="dxa"/>
            <w:tcBorders>
              <w:top w:val="nil"/>
              <w:left w:val="nil"/>
              <w:bottom w:val="nil"/>
              <w:right w:val="nil"/>
            </w:tcBorders>
            <w:shd w:val="clear" w:color="000000" w:fill="FFFFFF"/>
            <w:noWrap/>
            <w:vAlign w:val="bottom"/>
            <w:hideMark/>
          </w:tcPr>
          <w:p w:rsidR="002F40F5" w:rsidRPr="002F40F5" w:rsidRDefault="002F40F5" w:rsidP="002F40F5">
            <w:pPr>
              <w:spacing w:after="0" w:line="240" w:lineRule="auto"/>
              <w:jc w:val="right"/>
              <w:rPr>
                <w:rFonts w:ascii="Calibri" w:hAnsi="Calibri"/>
                <w:color w:val="000000"/>
                <w:sz w:val="18"/>
                <w:szCs w:val="18"/>
                <w:lang w:eastAsia="pt-BR"/>
              </w:rPr>
            </w:pPr>
            <w:r w:rsidRPr="002F40F5">
              <w:rPr>
                <w:rFonts w:ascii="Calibri" w:hAnsi="Calibri"/>
                <w:color w:val="000000"/>
                <w:sz w:val="18"/>
                <w:szCs w:val="18"/>
                <w:lang w:eastAsia="pt-BR"/>
              </w:rPr>
              <w:t>10,59%</w:t>
            </w:r>
          </w:p>
        </w:tc>
        <w:tc>
          <w:tcPr>
            <w:tcW w:w="2440" w:type="dxa"/>
            <w:tcBorders>
              <w:top w:val="nil"/>
              <w:left w:val="nil"/>
              <w:bottom w:val="nil"/>
              <w:right w:val="nil"/>
            </w:tcBorders>
            <w:shd w:val="clear" w:color="000000" w:fill="FFFFFF"/>
            <w:noWrap/>
            <w:vAlign w:val="bottom"/>
            <w:hideMark/>
          </w:tcPr>
          <w:p w:rsidR="002F40F5" w:rsidRPr="002F40F5" w:rsidRDefault="002F40F5" w:rsidP="002F40F5">
            <w:pPr>
              <w:spacing w:after="0" w:line="240" w:lineRule="auto"/>
              <w:jc w:val="right"/>
              <w:rPr>
                <w:rFonts w:ascii="Calibri" w:hAnsi="Calibri"/>
                <w:color w:val="000000"/>
                <w:sz w:val="18"/>
                <w:szCs w:val="18"/>
                <w:lang w:eastAsia="pt-BR"/>
              </w:rPr>
            </w:pPr>
            <w:r w:rsidRPr="002F40F5">
              <w:rPr>
                <w:rFonts w:ascii="Calibri" w:hAnsi="Calibri"/>
                <w:color w:val="000000"/>
                <w:sz w:val="18"/>
                <w:szCs w:val="18"/>
                <w:lang w:eastAsia="pt-BR"/>
              </w:rPr>
              <w:t>8,33%</w:t>
            </w:r>
          </w:p>
        </w:tc>
      </w:tr>
      <w:tr w:rsidR="002F40F5" w:rsidRPr="002F40F5" w:rsidTr="003D3DF7">
        <w:trPr>
          <w:trHeight w:val="300"/>
          <w:jc w:val="center"/>
        </w:trPr>
        <w:tc>
          <w:tcPr>
            <w:tcW w:w="2120" w:type="dxa"/>
            <w:tcBorders>
              <w:top w:val="nil"/>
              <w:left w:val="nil"/>
              <w:bottom w:val="nil"/>
              <w:right w:val="nil"/>
            </w:tcBorders>
            <w:shd w:val="clear" w:color="000000" w:fill="FFFFFF"/>
            <w:vAlign w:val="bottom"/>
            <w:hideMark/>
          </w:tcPr>
          <w:p w:rsidR="002F40F5" w:rsidRPr="002F40F5" w:rsidRDefault="002F40F5" w:rsidP="002F40F5">
            <w:pPr>
              <w:spacing w:after="0" w:line="240" w:lineRule="auto"/>
              <w:jc w:val="left"/>
              <w:rPr>
                <w:rFonts w:ascii="Calibri" w:hAnsi="Calibri"/>
                <w:color w:val="000000"/>
                <w:sz w:val="18"/>
                <w:szCs w:val="18"/>
                <w:lang w:eastAsia="pt-BR"/>
              </w:rPr>
            </w:pPr>
            <w:r w:rsidRPr="002F40F5">
              <w:rPr>
                <w:rFonts w:ascii="Calibri" w:hAnsi="Calibri"/>
                <w:color w:val="000000"/>
                <w:sz w:val="18"/>
                <w:szCs w:val="18"/>
                <w:lang w:eastAsia="pt-BR"/>
              </w:rPr>
              <w:t>De 46 a 55 anos</w:t>
            </w:r>
          </w:p>
        </w:tc>
        <w:tc>
          <w:tcPr>
            <w:tcW w:w="2120" w:type="dxa"/>
            <w:tcBorders>
              <w:top w:val="nil"/>
              <w:left w:val="nil"/>
              <w:bottom w:val="nil"/>
              <w:right w:val="nil"/>
            </w:tcBorders>
            <w:shd w:val="clear" w:color="000000" w:fill="FFFFFF"/>
            <w:noWrap/>
            <w:vAlign w:val="bottom"/>
            <w:hideMark/>
          </w:tcPr>
          <w:p w:rsidR="002F40F5" w:rsidRPr="002F40F5" w:rsidRDefault="002F40F5" w:rsidP="002F40F5">
            <w:pPr>
              <w:spacing w:after="0" w:line="240" w:lineRule="auto"/>
              <w:jc w:val="right"/>
              <w:rPr>
                <w:rFonts w:ascii="Calibri" w:hAnsi="Calibri"/>
                <w:color w:val="000000"/>
                <w:sz w:val="18"/>
                <w:szCs w:val="18"/>
                <w:lang w:eastAsia="pt-BR"/>
              </w:rPr>
            </w:pPr>
            <w:r w:rsidRPr="002F40F5">
              <w:rPr>
                <w:rFonts w:ascii="Calibri" w:hAnsi="Calibri"/>
                <w:color w:val="000000"/>
                <w:sz w:val="18"/>
                <w:szCs w:val="18"/>
                <w:lang w:eastAsia="pt-BR"/>
              </w:rPr>
              <w:t>18,25%</w:t>
            </w:r>
          </w:p>
        </w:tc>
        <w:tc>
          <w:tcPr>
            <w:tcW w:w="2440" w:type="dxa"/>
            <w:tcBorders>
              <w:top w:val="nil"/>
              <w:left w:val="nil"/>
              <w:bottom w:val="nil"/>
              <w:right w:val="nil"/>
            </w:tcBorders>
            <w:shd w:val="clear" w:color="000000" w:fill="FFFFFF"/>
            <w:noWrap/>
            <w:vAlign w:val="bottom"/>
            <w:hideMark/>
          </w:tcPr>
          <w:p w:rsidR="002F40F5" w:rsidRPr="002F40F5" w:rsidRDefault="002F40F5" w:rsidP="002F40F5">
            <w:pPr>
              <w:spacing w:after="0" w:line="240" w:lineRule="auto"/>
              <w:jc w:val="right"/>
              <w:rPr>
                <w:rFonts w:ascii="Calibri" w:hAnsi="Calibri"/>
                <w:color w:val="000000"/>
                <w:sz w:val="18"/>
                <w:szCs w:val="18"/>
                <w:lang w:eastAsia="pt-BR"/>
              </w:rPr>
            </w:pPr>
            <w:r w:rsidRPr="002F40F5">
              <w:rPr>
                <w:rFonts w:ascii="Calibri" w:hAnsi="Calibri"/>
                <w:color w:val="000000"/>
                <w:sz w:val="18"/>
                <w:szCs w:val="18"/>
                <w:lang w:eastAsia="pt-BR"/>
              </w:rPr>
              <w:t>22,62%</w:t>
            </w:r>
          </w:p>
        </w:tc>
      </w:tr>
      <w:tr w:rsidR="002F40F5" w:rsidRPr="002F40F5" w:rsidTr="003D3DF7">
        <w:trPr>
          <w:trHeight w:val="300"/>
          <w:jc w:val="center"/>
        </w:trPr>
        <w:tc>
          <w:tcPr>
            <w:tcW w:w="2120" w:type="dxa"/>
            <w:tcBorders>
              <w:top w:val="nil"/>
              <w:left w:val="nil"/>
              <w:right w:val="nil"/>
            </w:tcBorders>
            <w:shd w:val="clear" w:color="000000" w:fill="FFFFFF"/>
            <w:vAlign w:val="bottom"/>
            <w:hideMark/>
          </w:tcPr>
          <w:p w:rsidR="002F40F5" w:rsidRPr="002F40F5" w:rsidRDefault="002F40F5" w:rsidP="002F40F5">
            <w:pPr>
              <w:spacing w:after="0" w:line="240" w:lineRule="auto"/>
              <w:jc w:val="left"/>
              <w:rPr>
                <w:rFonts w:ascii="Calibri" w:hAnsi="Calibri"/>
                <w:color w:val="000000"/>
                <w:sz w:val="18"/>
                <w:szCs w:val="18"/>
                <w:lang w:eastAsia="pt-BR"/>
              </w:rPr>
            </w:pPr>
            <w:r w:rsidRPr="002F40F5">
              <w:rPr>
                <w:rFonts w:ascii="Calibri" w:hAnsi="Calibri"/>
                <w:color w:val="000000"/>
                <w:sz w:val="18"/>
                <w:szCs w:val="18"/>
                <w:lang w:eastAsia="pt-BR"/>
              </w:rPr>
              <w:t>De 56 a 65 anos</w:t>
            </w:r>
          </w:p>
        </w:tc>
        <w:tc>
          <w:tcPr>
            <w:tcW w:w="2120" w:type="dxa"/>
            <w:tcBorders>
              <w:top w:val="nil"/>
              <w:left w:val="nil"/>
              <w:right w:val="nil"/>
            </w:tcBorders>
            <w:shd w:val="clear" w:color="000000" w:fill="FFFFFF"/>
            <w:noWrap/>
            <w:vAlign w:val="bottom"/>
            <w:hideMark/>
          </w:tcPr>
          <w:p w:rsidR="002F40F5" w:rsidRPr="002F40F5" w:rsidRDefault="002F40F5" w:rsidP="002F40F5">
            <w:pPr>
              <w:spacing w:after="0" w:line="240" w:lineRule="auto"/>
              <w:jc w:val="right"/>
              <w:rPr>
                <w:rFonts w:ascii="Calibri" w:hAnsi="Calibri"/>
                <w:color w:val="000000"/>
                <w:sz w:val="18"/>
                <w:szCs w:val="18"/>
                <w:lang w:eastAsia="pt-BR"/>
              </w:rPr>
            </w:pPr>
            <w:r w:rsidRPr="002F40F5">
              <w:rPr>
                <w:rFonts w:ascii="Calibri" w:hAnsi="Calibri"/>
                <w:color w:val="000000"/>
                <w:sz w:val="18"/>
                <w:szCs w:val="18"/>
                <w:lang w:eastAsia="pt-BR"/>
              </w:rPr>
              <w:t>21,87%</w:t>
            </w:r>
          </w:p>
        </w:tc>
        <w:tc>
          <w:tcPr>
            <w:tcW w:w="2440" w:type="dxa"/>
            <w:tcBorders>
              <w:top w:val="nil"/>
              <w:left w:val="nil"/>
              <w:right w:val="nil"/>
            </w:tcBorders>
            <w:shd w:val="clear" w:color="000000" w:fill="FFFFFF"/>
            <w:noWrap/>
            <w:vAlign w:val="bottom"/>
            <w:hideMark/>
          </w:tcPr>
          <w:p w:rsidR="002F40F5" w:rsidRPr="002F40F5" w:rsidRDefault="002F40F5" w:rsidP="002F40F5">
            <w:pPr>
              <w:spacing w:after="0" w:line="240" w:lineRule="auto"/>
              <w:jc w:val="right"/>
              <w:rPr>
                <w:rFonts w:ascii="Calibri" w:hAnsi="Calibri"/>
                <w:color w:val="000000"/>
                <w:sz w:val="18"/>
                <w:szCs w:val="18"/>
                <w:lang w:eastAsia="pt-BR"/>
              </w:rPr>
            </w:pPr>
            <w:r w:rsidRPr="002F40F5">
              <w:rPr>
                <w:rFonts w:ascii="Calibri" w:hAnsi="Calibri"/>
                <w:color w:val="000000"/>
                <w:sz w:val="18"/>
                <w:szCs w:val="18"/>
                <w:lang w:eastAsia="pt-BR"/>
              </w:rPr>
              <w:t>33,33%</w:t>
            </w:r>
          </w:p>
        </w:tc>
      </w:tr>
      <w:tr w:rsidR="002F40F5" w:rsidRPr="002F40F5" w:rsidTr="003D3DF7">
        <w:trPr>
          <w:trHeight w:val="300"/>
          <w:jc w:val="center"/>
        </w:trPr>
        <w:tc>
          <w:tcPr>
            <w:tcW w:w="2120" w:type="dxa"/>
            <w:tcBorders>
              <w:top w:val="nil"/>
              <w:left w:val="nil"/>
              <w:bottom w:val="double" w:sz="4" w:space="0" w:color="auto"/>
              <w:right w:val="nil"/>
            </w:tcBorders>
            <w:shd w:val="clear" w:color="000000" w:fill="FFFFFF"/>
            <w:vAlign w:val="bottom"/>
            <w:hideMark/>
          </w:tcPr>
          <w:p w:rsidR="002F40F5" w:rsidRPr="002F40F5" w:rsidRDefault="002F40F5" w:rsidP="002F40F5">
            <w:pPr>
              <w:spacing w:after="0" w:line="240" w:lineRule="auto"/>
              <w:jc w:val="left"/>
              <w:rPr>
                <w:rFonts w:ascii="Calibri" w:hAnsi="Calibri"/>
                <w:color w:val="000000"/>
                <w:sz w:val="18"/>
                <w:szCs w:val="18"/>
                <w:lang w:eastAsia="pt-BR"/>
              </w:rPr>
            </w:pPr>
            <w:r w:rsidRPr="002F40F5">
              <w:rPr>
                <w:rFonts w:ascii="Calibri" w:hAnsi="Calibri"/>
                <w:color w:val="000000"/>
                <w:sz w:val="18"/>
                <w:szCs w:val="18"/>
                <w:lang w:eastAsia="pt-BR"/>
              </w:rPr>
              <w:t>Maior de 66 anos</w:t>
            </w:r>
          </w:p>
        </w:tc>
        <w:tc>
          <w:tcPr>
            <w:tcW w:w="2120" w:type="dxa"/>
            <w:tcBorders>
              <w:top w:val="nil"/>
              <w:left w:val="nil"/>
              <w:bottom w:val="double" w:sz="4" w:space="0" w:color="auto"/>
              <w:right w:val="nil"/>
            </w:tcBorders>
            <w:shd w:val="clear" w:color="000000" w:fill="FFFFFF"/>
            <w:noWrap/>
            <w:vAlign w:val="bottom"/>
            <w:hideMark/>
          </w:tcPr>
          <w:p w:rsidR="002F40F5" w:rsidRPr="002F40F5" w:rsidRDefault="002F40F5" w:rsidP="002F40F5">
            <w:pPr>
              <w:spacing w:after="0" w:line="240" w:lineRule="auto"/>
              <w:jc w:val="right"/>
              <w:rPr>
                <w:rFonts w:ascii="Calibri" w:hAnsi="Calibri"/>
                <w:color w:val="000000"/>
                <w:sz w:val="18"/>
                <w:szCs w:val="18"/>
                <w:lang w:eastAsia="pt-BR"/>
              </w:rPr>
            </w:pPr>
            <w:r w:rsidRPr="002F40F5">
              <w:rPr>
                <w:rFonts w:ascii="Calibri" w:hAnsi="Calibri"/>
                <w:color w:val="000000"/>
                <w:sz w:val="18"/>
                <w:szCs w:val="18"/>
                <w:lang w:eastAsia="pt-BR"/>
              </w:rPr>
              <w:t>44,37%</w:t>
            </w:r>
          </w:p>
        </w:tc>
        <w:tc>
          <w:tcPr>
            <w:tcW w:w="2440" w:type="dxa"/>
            <w:tcBorders>
              <w:top w:val="nil"/>
              <w:left w:val="nil"/>
              <w:bottom w:val="double" w:sz="4" w:space="0" w:color="auto"/>
              <w:right w:val="nil"/>
            </w:tcBorders>
            <w:shd w:val="clear" w:color="000000" w:fill="FFFFFF"/>
            <w:noWrap/>
            <w:vAlign w:val="bottom"/>
            <w:hideMark/>
          </w:tcPr>
          <w:p w:rsidR="002F40F5" w:rsidRPr="002F40F5" w:rsidRDefault="002F40F5" w:rsidP="002F40F5">
            <w:pPr>
              <w:spacing w:after="0" w:line="240" w:lineRule="auto"/>
              <w:jc w:val="right"/>
              <w:rPr>
                <w:rFonts w:ascii="Calibri" w:hAnsi="Calibri"/>
                <w:color w:val="000000"/>
                <w:sz w:val="18"/>
                <w:szCs w:val="18"/>
                <w:lang w:eastAsia="pt-BR"/>
              </w:rPr>
            </w:pPr>
            <w:r w:rsidRPr="002F40F5">
              <w:rPr>
                <w:rFonts w:ascii="Calibri" w:hAnsi="Calibri"/>
                <w:color w:val="000000"/>
                <w:sz w:val="18"/>
                <w:szCs w:val="18"/>
                <w:lang w:eastAsia="pt-BR"/>
              </w:rPr>
              <w:t>30,95%</w:t>
            </w:r>
          </w:p>
        </w:tc>
      </w:tr>
    </w:tbl>
    <w:p w:rsidR="00C508FB" w:rsidRPr="002F40F5" w:rsidRDefault="003D3DF7" w:rsidP="003D3DF7">
      <w:pPr>
        <w:ind w:left="708" w:firstLine="708"/>
        <w:rPr>
          <w:rFonts w:ascii="Arial" w:hAnsi="Arial" w:cs="Arial"/>
          <w:sz w:val="16"/>
        </w:rPr>
      </w:pPr>
      <w:r>
        <w:rPr>
          <w:rFonts w:ascii="Arial" w:hAnsi="Arial" w:cs="Arial"/>
          <w:sz w:val="16"/>
        </w:rPr>
        <w:t xml:space="preserve"> </w:t>
      </w:r>
      <w:r w:rsidR="002F40F5" w:rsidRPr="002F40F5">
        <w:rPr>
          <w:rFonts w:ascii="Arial" w:hAnsi="Arial" w:cs="Arial"/>
          <w:sz w:val="16"/>
        </w:rPr>
        <w:t>Fonte: BM&amp;FBovespa e Base de dados</w:t>
      </w:r>
    </w:p>
    <w:p w:rsidR="00DB67D1" w:rsidRDefault="008C4D85" w:rsidP="00DB67D1">
      <w:pPr>
        <w:ind w:firstLine="708"/>
        <w:rPr>
          <w:rFonts w:ascii="Arial" w:hAnsi="Arial" w:cs="Arial"/>
          <w:sz w:val="24"/>
        </w:rPr>
      </w:pPr>
      <w:r>
        <w:rPr>
          <w:rFonts w:ascii="Arial" w:hAnsi="Arial" w:cs="Arial"/>
          <w:sz w:val="24"/>
        </w:rPr>
        <w:t xml:space="preserve">Cabe ressaltar que </w:t>
      </w:r>
      <w:r w:rsidR="00F473D4">
        <w:rPr>
          <w:rFonts w:ascii="Arial" w:hAnsi="Arial" w:cs="Arial"/>
          <w:sz w:val="24"/>
        </w:rPr>
        <w:t xml:space="preserve">os dados de custódia apresentados são alimentados diariamente e cada movimentação </w:t>
      </w:r>
      <w:r w:rsidR="00AC31A1">
        <w:rPr>
          <w:rFonts w:ascii="Arial" w:hAnsi="Arial" w:cs="Arial"/>
          <w:sz w:val="24"/>
        </w:rPr>
        <w:t>é</w:t>
      </w:r>
      <w:r w:rsidR="005F2CBE">
        <w:rPr>
          <w:rFonts w:ascii="Arial" w:hAnsi="Arial" w:cs="Arial"/>
          <w:sz w:val="24"/>
        </w:rPr>
        <w:t xml:space="preserve"> refletida</w:t>
      </w:r>
      <w:r w:rsidR="00F473D4">
        <w:rPr>
          <w:rFonts w:ascii="Arial" w:hAnsi="Arial" w:cs="Arial"/>
          <w:sz w:val="24"/>
        </w:rPr>
        <w:t xml:space="preserve"> momentaneamente na </w:t>
      </w:r>
      <w:r>
        <w:rPr>
          <w:rFonts w:ascii="Arial" w:hAnsi="Arial" w:cs="Arial"/>
          <w:sz w:val="24"/>
        </w:rPr>
        <w:t>custódia detida de cada cliente</w:t>
      </w:r>
      <w:r w:rsidR="005F2CBE">
        <w:rPr>
          <w:rFonts w:ascii="Arial" w:hAnsi="Arial" w:cs="Arial"/>
          <w:sz w:val="24"/>
        </w:rPr>
        <w:t xml:space="preserve">. Desta </w:t>
      </w:r>
      <w:r>
        <w:rPr>
          <w:rFonts w:ascii="Arial" w:hAnsi="Arial" w:cs="Arial"/>
          <w:sz w:val="24"/>
        </w:rPr>
        <w:t>forma</w:t>
      </w:r>
      <w:r w:rsidR="005F2CBE">
        <w:rPr>
          <w:rFonts w:ascii="Arial" w:hAnsi="Arial" w:cs="Arial"/>
          <w:sz w:val="24"/>
        </w:rPr>
        <w:t>, evitam-se</w:t>
      </w:r>
      <w:r>
        <w:rPr>
          <w:rFonts w:ascii="Arial" w:hAnsi="Arial" w:cs="Arial"/>
          <w:sz w:val="24"/>
        </w:rPr>
        <w:t xml:space="preserve"> erros temporais</w:t>
      </w:r>
      <w:r w:rsidR="00B13D4B">
        <w:rPr>
          <w:rFonts w:ascii="Arial" w:hAnsi="Arial" w:cs="Arial"/>
          <w:sz w:val="24"/>
        </w:rPr>
        <w:t xml:space="preserve"> na custódia do investidor.</w:t>
      </w:r>
    </w:p>
    <w:p w:rsidR="00DB67D1" w:rsidRDefault="002A497D" w:rsidP="00DB67D1">
      <w:pPr>
        <w:ind w:firstLine="708"/>
        <w:rPr>
          <w:rFonts w:ascii="Arial" w:hAnsi="Arial" w:cs="Arial"/>
          <w:sz w:val="24"/>
        </w:rPr>
      </w:pPr>
      <w:r w:rsidRPr="00843ECE">
        <w:rPr>
          <w:rFonts w:ascii="Arial" w:hAnsi="Arial" w:cs="Arial"/>
          <w:sz w:val="24"/>
        </w:rPr>
        <w:t>Estas informações foram distribuídas em planilha eletrônica</w:t>
      </w:r>
      <w:r w:rsidR="00843ECE" w:rsidRPr="00843ECE">
        <w:rPr>
          <w:rFonts w:ascii="Arial" w:hAnsi="Arial" w:cs="Arial"/>
          <w:sz w:val="24"/>
        </w:rPr>
        <w:t xml:space="preserve"> resultando em uma matriz de </w:t>
      </w:r>
      <w:r w:rsidR="008A2572">
        <w:rPr>
          <w:rFonts w:ascii="Arial" w:hAnsi="Arial" w:cs="Arial"/>
          <w:sz w:val="24"/>
        </w:rPr>
        <w:t>121</w:t>
      </w:r>
      <w:r w:rsidR="00843ECE" w:rsidRPr="00843ECE">
        <w:rPr>
          <w:rFonts w:ascii="Arial" w:hAnsi="Arial" w:cs="Arial"/>
          <w:sz w:val="24"/>
        </w:rPr>
        <w:t xml:space="preserve"> linhas por 8</w:t>
      </w:r>
      <w:r w:rsidR="008A2572">
        <w:rPr>
          <w:rFonts w:ascii="Arial" w:hAnsi="Arial" w:cs="Arial"/>
          <w:sz w:val="24"/>
        </w:rPr>
        <w:t>6</w:t>
      </w:r>
      <w:r w:rsidR="00843ECE" w:rsidRPr="00843ECE">
        <w:rPr>
          <w:rFonts w:ascii="Arial" w:hAnsi="Arial" w:cs="Arial"/>
          <w:sz w:val="24"/>
        </w:rPr>
        <w:t xml:space="preserve"> colunas, onde as ações</w:t>
      </w:r>
      <w:r w:rsidRPr="00843ECE">
        <w:rPr>
          <w:rFonts w:ascii="Arial" w:hAnsi="Arial" w:cs="Arial"/>
          <w:sz w:val="24"/>
        </w:rPr>
        <w:t xml:space="preserve"> foram distribuídas nas linhas e os </w:t>
      </w:r>
      <w:r w:rsidR="00843ECE" w:rsidRPr="00843ECE">
        <w:rPr>
          <w:rFonts w:ascii="Arial" w:hAnsi="Arial" w:cs="Arial"/>
          <w:sz w:val="24"/>
        </w:rPr>
        <w:t>investidores</w:t>
      </w:r>
      <w:r w:rsidR="008258BD">
        <w:rPr>
          <w:rFonts w:ascii="Arial" w:hAnsi="Arial" w:cs="Arial"/>
          <w:sz w:val="24"/>
        </w:rPr>
        <w:t xml:space="preserve"> </w:t>
      </w:r>
      <w:r w:rsidR="00B13D4B">
        <w:rPr>
          <w:rFonts w:ascii="Arial" w:hAnsi="Arial" w:cs="Arial"/>
          <w:sz w:val="24"/>
        </w:rPr>
        <w:t>em</w:t>
      </w:r>
      <w:r w:rsidRPr="00843ECE">
        <w:rPr>
          <w:rFonts w:ascii="Arial" w:hAnsi="Arial" w:cs="Arial"/>
          <w:sz w:val="24"/>
        </w:rPr>
        <w:t xml:space="preserve"> colunas.</w:t>
      </w:r>
    </w:p>
    <w:p w:rsidR="00EA10E9" w:rsidRDefault="00B65129" w:rsidP="00E07838">
      <w:pPr>
        <w:ind w:firstLine="708"/>
        <w:rPr>
          <w:rFonts w:ascii="Arial" w:hAnsi="Arial" w:cs="Arial"/>
          <w:sz w:val="24"/>
        </w:rPr>
      </w:pPr>
      <w:r w:rsidRPr="00D9668F">
        <w:rPr>
          <w:rFonts w:ascii="Arial" w:hAnsi="Arial" w:cs="Arial"/>
          <w:sz w:val="24"/>
        </w:rPr>
        <w:t>Todas as informações, referentes a valor</w:t>
      </w:r>
      <w:r w:rsidR="00D33096">
        <w:rPr>
          <w:rFonts w:ascii="Arial" w:hAnsi="Arial" w:cs="Arial"/>
          <w:sz w:val="24"/>
        </w:rPr>
        <w:t>es</w:t>
      </w:r>
      <w:r w:rsidRPr="00D9668F">
        <w:rPr>
          <w:rFonts w:ascii="Arial" w:hAnsi="Arial" w:cs="Arial"/>
          <w:sz w:val="24"/>
        </w:rPr>
        <w:t xml:space="preserve"> de </w:t>
      </w:r>
      <w:r w:rsidR="00D33096">
        <w:rPr>
          <w:rFonts w:ascii="Arial" w:hAnsi="Arial" w:cs="Arial"/>
          <w:sz w:val="24"/>
        </w:rPr>
        <w:t xml:space="preserve">ações </w:t>
      </w:r>
      <w:r w:rsidRPr="00D9668F">
        <w:rPr>
          <w:rFonts w:ascii="Arial" w:hAnsi="Arial" w:cs="Arial"/>
          <w:sz w:val="24"/>
        </w:rPr>
        <w:t xml:space="preserve">e classificação </w:t>
      </w:r>
      <w:r w:rsidR="008E5E6C">
        <w:rPr>
          <w:rFonts w:ascii="Arial" w:hAnsi="Arial" w:cs="Arial"/>
          <w:sz w:val="24"/>
        </w:rPr>
        <w:t>de ativos</w:t>
      </w:r>
      <w:r w:rsidRPr="00D9668F">
        <w:rPr>
          <w:rFonts w:ascii="Arial" w:hAnsi="Arial" w:cs="Arial"/>
          <w:sz w:val="24"/>
        </w:rPr>
        <w:t xml:space="preserve">, presentes neste trabalho foram retirados da base de dados da </w:t>
      </w:r>
      <w:r w:rsidR="008E5E6C">
        <w:rPr>
          <w:rFonts w:ascii="Arial" w:hAnsi="Arial" w:cs="Arial"/>
          <w:sz w:val="24"/>
        </w:rPr>
        <w:t>BM&amp;F Bovespa em 30 de junho de 2015.</w:t>
      </w:r>
    </w:p>
    <w:p w:rsidR="00E07838" w:rsidRPr="00E07838" w:rsidRDefault="00E07838" w:rsidP="00E07838">
      <w:pPr>
        <w:ind w:firstLine="708"/>
        <w:rPr>
          <w:rStyle w:val="Estilo11ptVermelho"/>
          <w:rFonts w:ascii="Arial" w:hAnsi="Arial" w:cs="Arial"/>
          <w:color w:val="auto"/>
          <w:sz w:val="24"/>
        </w:rPr>
      </w:pPr>
      <w:r>
        <w:rPr>
          <w:rFonts w:ascii="Arial" w:hAnsi="Arial" w:cs="Arial"/>
          <w:sz w:val="24"/>
        </w:rPr>
        <w:lastRenderedPageBreak/>
        <w:t xml:space="preserve">Além desta seleção de amostra, coletamos informações em formulários de referência das empresas que compõem a amostra de investidores que trabalham em empresas de capital aberto, com intuído de saber se a empresa </w:t>
      </w:r>
      <w:r w:rsidR="008258BD">
        <w:rPr>
          <w:rFonts w:ascii="Arial" w:hAnsi="Arial" w:cs="Arial"/>
          <w:sz w:val="24"/>
        </w:rPr>
        <w:t xml:space="preserve">utiliza ações como </w:t>
      </w:r>
      <w:r>
        <w:rPr>
          <w:rFonts w:ascii="Arial" w:hAnsi="Arial" w:cs="Arial"/>
          <w:sz w:val="24"/>
        </w:rPr>
        <w:t>forma de remuneração</w:t>
      </w:r>
      <w:r w:rsidR="008258BD">
        <w:rPr>
          <w:rFonts w:ascii="Arial" w:hAnsi="Arial" w:cs="Arial"/>
          <w:sz w:val="24"/>
        </w:rPr>
        <w:t xml:space="preserve"> para seus funcionários</w:t>
      </w:r>
      <w:r>
        <w:rPr>
          <w:rFonts w:ascii="Arial" w:hAnsi="Arial" w:cs="Arial"/>
          <w:sz w:val="24"/>
        </w:rPr>
        <w:t xml:space="preserve">. Destas, </w:t>
      </w:r>
      <w:r w:rsidR="00AE5190">
        <w:rPr>
          <w:rFonts w:ascii="Arial" w:hAnsi="Arial" w:cs="Arial"/>
          <w:sz w:val="24"/>
        </w:rPr>
        <w:t xml:space="preserve">19 </w:t>
      </w:r>
      <w:r>
        <w:rPr>
          <w:rFonts w:ascii="Arial" w:hAnsi="Arial" w:cs="Arial"/>
          <w:sz w:val="24"/>
        </w:rPr>
        <w:t xml:space="preserve">apresentaram alguma remuneração nos últimos </w:t>
      </w:r>
      <w:r w:rsidR="008258BD">
        <w:rPr>
          <w:rFonts w:ascii="Arial" w:hAnsi="Arial" w:cs="Arial"/>
          <w:sz w:val="24"/>
        </w:rPr>
        <w:t>três</w:t>
      </w:r>
      <w:r>
        <w:rPr>
          <w:rFonts w:ascii="Arial" w:hAnsi="Arial" w:cs="Arial"/>
          <w:sz w:val="24"/>
        </w:rPr>
        <w:t xml:space="preserve"> anos.</w:t>
      </w:r>
      <w:r w:rsidR="00F14B97">
        <w:rPr>
          <w:rFonts w:ascii="Arial" w:hAnsi="Arial" w:cs="Arial"/>
          <w:sz w:val="24"/>
        </w:rPr>
        <w:t xml:space="preserve"> </w:t>
      </w:r>
    </w:p>
    <w:p w:rsidR="00B21CE2" w:rsidRPr="00D9668F" w:rsidRDefault="005E1691" w:rsidP="00DB67D1">
      <w:pPr>
        <w:rPr>
          <w:rStyle w:val="Estilo11ptVermelho"/>
          <w:rFonts w:ascii="Arial" w:hAnsi="Arial" w:cs="Arial"/>
          <w:b/>
          <w:color w:val="auto"/>
          <w:sz w:val="24"/>
        </w:rPr>
      </w:pPr>
      <w:r>
        <w:rPr>
          <w:rStyle w:val="Estilo11ptVermelho"/>
          <w:rFonts w:ascii="Arial" w:hAnsi="Arial" w:cs="Arial"/>
          <w:b/>
          <w:color w:val="auto"/>
          <w:sz w:val="24"/>
        </w:rPr>
        <w:t>3</w:t>
      </w:r>
      <w:r w:rsidR="00B21CE2" w:rsidRPr="00D9668F">
        <w:rPr>
          <w:rStyle w:val="Estilo11ptVermelho"/>
          <w:rFonts w:ascii="Arial" w:hAnsi="Arial" w:cs="Arial"/>
          <w:b/>
          <w:color w:val="auto"/>
          <w:sz w:val="24"/>
        </w:rPr>
        <w:t>.</w:t>
      </w:r>
      <w:r w:rsidR="00DA4486">
        <w:rPr>
          <w:rStyle w:val="Estilo11ptVermelho"/>
          <w:rFonts w:ascii="Arial" w:hAnsi="Arial" w:cs="Arial"/>
          <w:b/>
          <w:color w:val="auto"/>
          <w:sz w:val="24"/>
        </w:rPr>
        <w:t>2</w:t>
      </w:r>
      <w:r w:rsidR="00B21CE2" w:rsidRPr="00D9668F">
        <w:rPr>
          <w:rStyle w:val="Estilo11ptVermelho"/>
          <w:rFonts w:ascii="Arial" w:hAnsi="Arial" w:cs="Arial"/>
          <w:b/>
          <w:color w:val="auto"/>
          <w:sz w:val="24"/>
        </w:rPr>
        <w:t xml:space="preserve"> METODOLOGIA</w:t>
      </w:r>
    </w:p>
    <w:p w:rsidR="00E07838" w:rsidRDefault="00AC31A1" w:rsidP="00DB67D1">
      <w:pPr>
        <w:ind w:firstLine="708"/>
        <w:rPr>
          <w:rFonts w:ascii="Arial" w:hAnsi="Arial" w:cs="Arial"/>
          <w:color w:val="FF0000"/>
          <w:sz w:val="24"/>
        </w:rPr>
      </w:pPr>
      <w:r>
        <w:rPr>
          <w:rFonts w:ascii="Arial" w:hAnsi="Arial" w:cs="Arial"/>
          <w:sz w:val="24"/>
        </w:rPr>
        <w:t xml:space="preserve">Uma vez </w:t>
      </w:r>
      <w:r w:rsidRPr="00BF1FA5">
        <w:rPr>
          <w:rFonts w:ascii="Arial" w:hAnsi="Arial" w:cs="Arial"/>
          <w:sz w:val="24"/>
        </w:rPr>
        <w:t xml:space="preserve">garantida </w:t>
      </w:r>
      <w:r w:rsidR="00A30D8B" w:rsidRPr="00BF1FA5">
        <w:rPr>
          <w:rFonts w:ascii="Arial" w:hAnsi="Arial" w:cs="Arial"/>
          <w:sz w:val="24"/>
        </w:rPr>
        <w:t>à</w:t>
      </w:r>
      <w:r w:rsidR="00CD3673" w:rsidRPr="00BF1FA5">
        <w:rPr>
          <w:rFonts w:ascii="Arial" w:hAnsi="Arial" w:cs="Arial"/>
          <w:sz w:val="24"/>
        </w:rPr>
        <w:t xml:space="preserve"> qualidade</w:t>
      </w:r>
      <w:r w:rsidR="00CD3673" w:rsidRPr="00D9668F">
        <w:rPr>
          <w:rFonts w:ascii="Arial" w:hAnsi="Arial" w:cs="Arial"/>
          <w:sz w:val="24"/>
        </w:rPr>
        <w:t xml:space="preserve"> dos dados, cabe a este estudo proceder </w:t>
      </w:r>
      <w:r w:rsidR="00A30D8B" w:rsidRPr="00D9668F">
        <w:rPr>
          <w:rFonts w:ascii="Arial" w:hAnsi="Arial" w:cs="Arial"/>
          <w:sz w:val="24"/>
        </w:rPr>
        <w:t>à</w:t>
      </w:r>
      <w:r w:rsidR="00CD3673" w:rsidRPr="00D9668F">
        <w:rPr>
          <w:rFonts w:ascii="Arial" w:hAnsi="Arial" w:cs="Arial"/>
          <w:sz w:val="24"/>
        </w:rPr>
        <w:t xml:space="preserve"> melhor forma de apuração dos resultados almejados. </w:t>
      </w:r>
      <w:r w:rsidR="007E452A">
        <w:rPr>
          <w:rFonts w:ascii="Arial" w:hAnsi="Arial" w:cs="Arial"/>
          <w:sz w:val="24"/>
        </w:rPr>
        <w:t>P</w:t>
      </w:r>
      <w:r w:rsidR="00CD3673" w:rsidRPr="00D9668F">
        <w:rPr>
          <w:rFonts w:ascii="Arial" w:hAnsi="Arial" w:cs="Arial"/>
          <w:sz w:val="24"/>
        </w:rPr>
        <w:t xml:space="preserve">ara tal, </w:t>
      </w:r>
      <w:r w:rsidR="008C4D85">
        <w:rPr>
          <w:rFonts w:ascii="Arial" w:hAnsi="Arial" w:cs="Arial"/>
          <w:sz w:val="24"/>
        </w:rPr>
        <w:t xml:space="preserve">foi feita </w:t>
      </w:r>
      <w:r w:rsidR="00C14204" w:rsidRPr="008A2572">
        <w:rPr>
          <w:rFonts w:ascii="Arial" w:hAnsi="Arial" w:cs="Arial"/>
          <w:sz w:val="24"/>
        </w:rPr>
        <w:t xml:space="preserve">análise </w:t>
      </w:r>
      <w:r w:rsidR="00E07838">
        <w:rPr>
          <w:rFonts w:ascii="Arial" w:hAnsi="Arial" w:cs="Arial"/>
          <w:i/>
          <w:sz w:val="24"/>
        </w:rPr>
        <w:t xml:space="preserve">cross section </w:t>
      </w:r>
      <w:r w:rsidR="00C14204">
        <w:rPr>
          <w:rFonts w:ascii="Arial" w:hAnsi="Arial" w:cs="Arial"/>
          <w:sz w:val="24"/>
        </w:rPr>
        <w:t>de quantos investidores trabalham em empresas de capital aberto</w:t>
      </w:r>
      <w:r w:rsidR="00127486">
        <w:rPr>
          <w:rFonts w:ascii="Arial" w:hAnsi="Arial" w:cs="Arial"/>
          <w:sz w:val="24"/>
        </w:rPr>
        <w:t>, quantos</w:t>
      </w:r>
      <w:r w:rsidR="00C14204">
        <w:rPr>
          <w:rFonts w:ascii="Arial" w:hAnsi="Arial" w:cs="Arial"/>
          <w:sz w:val="24"/>
        </w:rPr>
        <w:t xml:space="preserve"> possuem ações d</w:t>
      </w:r>
      <w:r w:rsidR="00127486">
        <w:rPr>
          <w:rFonts w:ascii="Arial" w:hAnsi="Arial" w:cs="Arial"/>
          <w:sz w:val="24"/>
        </w:rPr>
        <w:t xml:space="preserve">estas </w:t>
      </w:r>
      <w:r w:rsidR="00C14204">
        <w:rPr>
          <w:rFonts w:ascii="Arial" w:hAnsi="Arial" w:cs="Arial"/>
          <w:sz w:val="24"/>
        </w:rPr>
        <w:t>e qual o percentual desta participação em seu</w:t>
      </w:r>
      <w:r w:rsidR="008C4D85">
        <w:rPr>
          <w:rFonts w:ascii="Arial" w:hAnsi="Arial" w:cs="Arial"/>
          <w:sz w:val="24"/>
        </w:rPr>
        <w:t>s</w:t>
      </w:r>
      <w:r w:rsidR="00C14204">
        <w:rPr>
          <w:rFonts w:ascii="Arial" w:hAnsi="Arial" w:cs="Arial"/>
          <w:sz w:val="24"/>
        </w:rPr>
        <w:t xml:space="preserve"> portfólio</w:t>
      </w:r>
      <w:r w:rsidR="008C4D85">
        <w:rPr>
          <w:rFonts w:ascii="Arial" w:hAnsi="Arial" w:cs="Arial"/>
          <w:sz w:val="24"/>
        </w:rPr>
        <w:t>s</w:t>
      </w:r>
      <w:r w:rsidR="00B864CF">
        <w:rPr>
          <w:rStyle w:val="Refdenotaderodap"/>
          <w:rFonts w:ascii="Arial" w:hAnsi="Arial" w:cs="Arial"/>
          <w:sz w:val="24"/>
        </w:rPr>
        <w:footnoteReference w:id="1"/>
      </w:r>
      <w:r w:rsidR="00CD3673">
        <w:rPr>
          <w:rFonts w:ascii="Arial" w:hAnsi="Arial" w:cs="Arial"/>
          <w:sz w:val="24"/>
        </w:rPr>
        <w:t>.</w:t>
      </w:r>
    </w:p>
    <w:p w:rsidR="00DB67D1" w:rsidRDefault="00C14204" w:rsidP="00DB67D1">
      <w:pPr>
        <w:ind w:firstLine="708"/>
        <w:rPr>
          <w:rFonts w:ascii="Arial" w:hAnsi="Arial" w:cs="Arial"/>
          <w:sz w:val="24"/>
        </w:rPr>
      </w:pPr>
      <w:r>
        <w:rPr>
          <w:rFonts w:ascii="Arial" w:hAnsi="Arial" w:cs="Arial"/>
          <w:sz w:val="24"/>
        </w:rPr>
        <w:t xml:space="preserve">Em comparação com os resultados acima, também analisamos o percentual </w:t>
      </w:r>
      <w:r w:rsidR="00B13D4B">
        <w:rPr>
          <w:rFonts w:ascii="Arial" w:hAnsi="Arial" w:cs="Arial"/>
          <w:sz w:val="24"/>
        </w:rPr>
        <w:t>d</w:t>
      </w:r>
      <w:r>
        <w:rPr>
          <w:rFonts w:ascii="Arial" w:hAnsi="Arial" w:cs="Arial"/>
          <w:sz w:val="24"/>
        </w:rPr>
        <w:t>os investidores que não trabalham nas respectivas empresas de capital aberto</w:t>
      </w:r>
      <w:r w:rsidR="00AF015B">
        <w:rPr>
          <w:rFonts w:ascii="Arial" w:hAnsi="Arial" w:cs="Arial"/>
          <w:sz w:val="24"/>
        </w:rPr>
        <w:t xml:space="preserve"> e</w:t>
      </w:r>
      <w:r>
        <w:rPr>
          <w:rFonts w:ascii="Arial" w:hAnsi="Arial" w:cs="Arial"/>
          <w:sz w:val="24"/>
        </w:rPr>
        <w:t xml:space="preserve"> possuem</w:t>
      </w:r>
      <w:r w:rsidR="008C4D85">
        <w:rPr>
          <w:rFonts w:ascii="Arial" w:hAnsi="Arial" w:cs="Arial"/>
          <w:sz w:val="24"/>
        </w:rPr>
        <w:t xml:space="preserve"> (</w:t>
      </w:r>
      <w:r>
        <w:rPr>
          <w:rFonts w:ascii="Arial" w:hAnsi="Arial" w:cs="Arial"/>
          <w:sz w:val="24"/>
        </w:rPr>
        <w:t>e se possuem</w:t>
      </w:r>
      <w:r w:rsidR="008C4D85">
        <w:rPr>
          <w:rFonts w:ascii="Arial" w:hAnsi="Arial" w:cs="Arial"/>
          <w:sz w:val="24"/>
        </w:rPr>
        <w:t>)</w:t>
      </w:r>
      <w:r w:rsidR="00E07838">
        <w:rPr>
          <w:rFonts w:ascii="Arial" w:hAnsi="Arial" w:cs="Arial"/>
          <w:sz w:val="24"/>
        </w:rPr>
        <w:t xml:space="preserve"> </w:t>
      </w:r>
      <w:r>
        <w:rPr>
          <w:rFonts w:ascii="Arial" w:hAnsi="Arial" w:cs="Arial"/>
          <w:sz w:val="24"/>
        </w:rPr>
        <w:t>essas ações em seus portfólios</w:t>
      </w:r>
      <w:r w:rsidR="00B13D4B">
        <w:rPr>
          <w:rFonts w:ascii="Arial" w:hAnsi="Arial" w:cs="Arial"/>
          <w:sz w:val="24"/>
        </w:rPr>
        <w:t>.</w:t>
      </w:r>
    </w:p>
    <w:p w:rsidR="00F14B97" w:rsidRDefault="00F14B97" w:rsidP="00DB67D1">
      <w:pPr>
        <w:ind w:firstLine="708"/>
        <w:rPr>
          <w:rFonts w:ascii="Arial" w:hAnsi="Arial" w:cs="Arial"/>
          <w:sz w:val="24"/>
        </w:rPr>
      </w:pPr>
      <w:r>
        <w:rPr>
          <w:rFonts w:ascii="Arial" w:hAnsi="Arial" w:cs="Arial"/>
          <w:sz w:val="24"/>
        </w:rPr>
        <w:t>Além destas análises, separamos a amostra pelo valor total do portfólio. Realizamos os mesmos estudos acima descritos com dois grupos diferentes da amostra: o primeiro const</w:t>
      </w:r>
      <w:r w:rsidR="00595041">
        <w:rPr>
          <w:rFonts w:ascii="Arial" w:hAnsi="Arial" w:cs="Arial"/>
          <w:sz w:val="24"/>
        </w:rPr>
        <w:t>ando</w:t>
      </w:r>
      <w:r>
        <w:rPr>
          <w:rFonts w:ascii="Arial" w:hAnsi="Arial" w:cs="Arial"/>
          <w:sz w:val="24"/>
        </w:rPr>
        <w:t xml:space="preserve"> daqueles que possuíam um valor de portfólio acima da mediana da amostra, e o segundo, </w:t>
      </w:r>
      <w:r w:rsidR="00595041">
        <w:rPr>
          <w:rFonts w:ascii="Arial" w:hAnsi="Arial" w:cs="Arial"/>
          <w:sz w:val="24"/>
        </w:rPr>
        <w:t xml:space="preserve">com </w:t>
      </w:r>
      <w:r>
        <w:rPr>
          <w:rFonts w:ascii="Arial" w:hAnsi="Arial" w:cs="Arial"/>
          <w:sz w:val="24"/>
        </w:rPr>
        <w:t>os que possuíam um valor abaixo.</w:t>
      </w:r>
    </w:p>
    <w:p w:rsidR="00595041" w:rsidRDefault="00F14B97" w:rsidP="00DB67D1">
      <w:pPr>
        <w:ind w:firstLine="708"/>
        <w:rPr>
          <w:rFonts w:ascii="Arial" w:hAnsi="Arial" w:cs="Arial"/>
          <w:sz w:val="24"/>
        </w:rPr>
      </w:pPr>
      <w:r>
        <w:rPr>
          <w:rFonts w:ascii="Arial" w:hAnsi="Arial" w:cs="Arial"/>
          <w:sz w:val="24"/>
        </w:rPr>
        <w:t xml:space="preserve">Outra separação que fizemos na amostra foi em relação aos investidores que trabalham em empresas de capital aberto. </w:t>
      </w:r>
      <w:r w:rsidR="00595041">
        <w:rPr>
          <w:rFonts w:ascii="Arial" w:hAnsi="Arial" w:cs="Arial"/>
          <w:sz w:val="24"/>
        </w:rPr>
        <w:t xml:space="preserve">Para aqueles pertencentes </w:t>
      </w:r>
      <w:r>
        <w:rPr>
          <w:rFonts w:ascii="Arial" w:hAnsi="Arial" w:cs="Arial"/>
          <w:sz w:val="24"/>
        </w:rPr>
        <w:t>a alguma empresa que adota a remuneração com ações,</w:t>
      </w:r>
      <w:r w:rsidR="00595041">
        <w:rPr>
          <w:rFonts w:ascii="Arial" w:hAnsi="Arial" w:cs="Arial"/>
          <w:sz w:val="24"/>
        </w:rPr>
        <w:t xml:space="preserve"> para </w:t>
      </w:r>
      <w:r>
        <w:rPr>
          <w:rFonts w:ascii="Arial" w:hAnsi="Arial" w:cs="Arial"/>
          <w:sz w:val="24"/>
        </w:rPr>
        <w:t xml:space="preserve">aqueles que trabalham em empresas que não adotam esta prática. </w:t>
      </w:r>
    </w:p>
    <w:p w:rsidR="00DB67D1" w:rsidRDefault="00C14204" w:rsidP="00DB67D1">
      <w:pPr>
        <w:ind w:firstLine="708"/>
        <w:rPr>
          <w:rFonts w:ascii="Arial" w:hAnsi="Arial" w:cs="Arial"/>
          <w:sz w:val="24"/>
        </w:rPr>
      </w:pPr>
      <w:r>
        <w:rPr>
          <w:rFonts w:ascii="Arial" w:hAnsi="Arial" w:cs="Arial"/>
          <w:sz w:val="24"/>
        </w:rPr>
        <w:t>Também realizamos u</w:t>
      </w:r>
      <w:r w:rsidR="00AF015B">
        <w:rPr>
          <w:rFonts w:ascii="Arial" w:hAnsi="Arial" w:cs="Arial"/>
          <w:sz w:val="24"/>
        </w:rPr>
        <w:t>ma aná</w:t>
      </w:r>
      <w:r>
        <w:rPr>
          <w:rFonts w:ascii="Arial" w:hAnsi="Arial" w:cs="Arial"/>
          <w:sz w:val="24"/>
        </w:rPr>
        <w:t xml:space="preserve">lise regressiva </w:t>
      </w:r>
      <w:r w:rsidR="00C23B5A">
        <w:rPr>
          <w:rFonts w:ascii="Arial" w:hAnsi="Arial" w:cs="Arial"/>
          <w:sz w:val="24"/>
        </w:rPr>
        <w:t xml:space="preserve">dos últimos 10 anos </w:t>
      </w:r>
      <w:r>
        <w:rPr>
          <w:rFonts w:ascii="Arial" w:hAnsi="Arial" w:cs="Arial"/>
          <w:sz w:val="24"/>
        </w:rPr>
        <w:t>das ações</w:t>
      </w:r>
      <w:r w:rsidR="00595041">
        <w:rPr>
          <w:rStyle w:val="Refdenotaderodap"/>
          <w:rFonts w:ascii="Arial" w:hAnsi="Arial" w:cs="Arial"/>
          <w:sz w:val="24"/>
        </w:rPr>
        <w:footnoteReference w:id="2"/>
      </w:r>
      <w:r w:rsidR="00B13D4B">
        <w:rPr>
          <w:rFonts w:ascii="Arial" w:hAnsi="Arial" w:cs="Arial"/>
          <w:sz w:val="24"/>
        </w:rPr>
        <w:t xml:space="preserve"> </w:t>
      </w:r>
      <w:r>
        <w:rPr>
          <w:rFonts w:ascii="Arial" w:hAnsi="Arial" w:cs="Arial"/>
          <w:sz w:val="24"/>
        </w:rPr>
        <w:t>das empre</w:t>
      </w:r>
      <w:r w:rsidR="00C23B5A">
        <w:rPr>
          <w:rFonts w:ascii="Arial" w:hAnsi="Arial" w:cs="Arial"/>
          <w:sz w:val="24"/>
        </w:rPr>
        <w:t>sas constantes em nossa amostra, para saber se o percentual detido pelos investidores</w:t>
      </w:r>
      <w:r w:rsidR="00595041">
        <w:rPr>
          <w:rFonts w:ascii="Arial" w:hAnsi="Arial" w:cs="Arial"/>
          <w:sz w:val="24"/>
        </w:rPr>
        <w:t xml:space="preserve"> </w:t>
      </w:r>
      <w:r w:rsidR="00C23B5A">
        <w:rPr>
          <w:rFonts w:ascii="Arial" w:hAnsi="Arial" w:cs="Arial"/>
          <w:sz w:val="24"/>
        </w:rPr>
        <w:t xml:space="preserve">tem relação </w:t>
      </w:r>
      <w:r w:rsidR="00595041">
        <w:rPr>
          <w:rFonts w:ascii="Arial" w:hAnsi="Arial" w:cs="Arial"/>
          <w:sz w:val="24"/>
        </w:rPr>
        <w:t>ao</w:t>
      </w:r>
      <w:r w:rsidR="00C23B5A">
        <w:rPr>
          <w:rFonts w:ascii="Arial" w:hAnsi="Arial" w:cs="Arial"/>
          <w:sz w:val="24"/>
        </w:rPr>
        <w:t xml:space="preserve"> desempenho passado das ações da empresa. Para ba</w:t>
      </w:r>
      <w:r w:rsidR="00AF015B">
        <w:rPr>
          <w:rFonts w:ascii="Arial" w:hAnsi="Arial" w:cs="Arial"/>
          <w:sz w:val="24"/>
        </w:rPr>
        <w:t>se de comparação, utilizamos o í</w:t>
      </w:r>
      <w:r w:rsidR="00C23B5A">
        <w:rPr>
          <w:rFonts w:ascii="Arial" w:hAnsi="Arial" w:cs="Arial"/>
          <w:sz w:val="24"/>
        </w:rPr>
        <w:t>ndice Ibovespa</w:t>
      </w:r>
      <w:r w:rsidR="00595041">
        <w:rPr>
          <w:rFonts w:ascii="Arial" w:hAnsi="Arial" w:cs="Arial"/>
          <w:sz w:val="24"/>
        </w:rPr>
        <w:t>, com valor de fechamento n</w:t>
      </w:r>
      <w:r w:rsidR="00C23B5A">
        <w:rPr>
          <w:rFonts w:ascii="Arial" w:hAnsi="Arial" w:cs="Arial"/>
          <w:sz w:val="24"/>
        </w:rPr>
        <w:t xml:space="preserve">o mesmo período analisado para as empresas utilizando-se sempre, </w:t>
      </w:r>
      <w:r w:rsidR="006828BF" w:rsidRPr="00D9668F">
        <w:rPr>
          <w:rFonts w:ascii="Arial" w:hAnsi="Arial" w:cs="Arial"/>
          <w:sz w:val="24"/>
        </w:rPr>
        <w:t>para cada período analisado, testes estatísticos para verificar a significância das amostras</w:t>
      </w:r>
      <w:r w:rsidR="00B13D4B">
        <w:rPr>
          <w:rFonts w:ascii="Arial" w:hAnsi="Arial" w:cs="Arial"/>
          <w:sz w:val="24"/>
        </w:rPr>
        <w:t>.</w:t>
      </w:r>
      <w:bookmarkStart w:id="1" w:name="_Toc247529366"/>
    </w:p>
    <w:p w:rsidR="00595041" w:rsidRDefault="00595041" w:rsidP="00DB67D1">
      <w:pPr>
        <w:ind w:firstLine="708"/>
        <w:rPr>
          <w:rFonts w:ascii="Arial" w:hAnsi="Arial" w:cs="Arial"/>
          <w:sz w:val="24"/>
        </w:rPr>
      </w:pPr>
    </w:p>
    <w:p w:rsidR="00405E89" w:rsidRPr="00C23B5A" w:rsidRDefault="00DA4486" w:rsidP="00DB67D1">
      <w:pPr>
        <w:rPr>
          <w:rFonts w:ascii="Arial" w:hAnsi="Arial" w:cs="Arial"/>
          <w:b/>
          <w:sz w:val="24"/>
        </w:rPr>
      </w:pPr>
      <w:r>
        <w:rPr>
          <w:rFonts w:ascii="Arial" w:hAnsi="Arial"/>
          <w:b/>
          <w:sz w:val="24"/>
        </w:rPr>
        <w:lastRenderedPageBreak/>
        <w:t>3.3</w:t>
      </w:r>
      <w:r w:rsidR="00405E89" w:rsidRPr="00C23B5A">
        <w:rPr>
          <w:rFonts w:ascii="Arial" w:hAnsi="Arial"/>
          <w:b/>
          <w:sz w:val="24"/>
        </w:rPr>
        <w:t xml:space="preserve"> LIMITAÇÕES DO M</w:t>
      </w:r>
      <w:bookmarkEnd w:id="1"/>
      <w:r w:rsidR="00405E89" w:rsidRPr="00C23B5A">
        <w:rPr>
          <w:rFonts w:ascii="Arial" w:hAnsi="Arial"/>
          <w:b/>
          <w:sz w:val="24"/>
        </w:rPr>
        <w:t>ÉTODO</w:t>
      </w:r>
    </w:p>
    <w:p w:rsidR="00405E89" w:rsidRPr="00D9668F" w:rsidRDefault="00405E89" w:rsidP="00DB67D1">
      <w:pPr>
        <w:ind w:firstLine="708"/>
        <w:rPr>
          <w:rFonts w:ascii="Arial" w:hAnsi="Arial" w:cs="Arial"/>
          <w:sz w:val="24"/>
        </w:rPr>
      </w:pPr>
      <w:r w:rsidRPr="00D9668F">
        <w:rPr>
          <w:rFonts w:ascii="Arial" w:hAnsi="Arial" w:cs="Arial"/>
          <w:sz w:val="24"/>
        </w:rPr>
        <w:t xml:space="preserve">É recorrente em estudos semelhantes publicados no meio acadêmico, </w:t>
      </w:r>
      <w:r w:rsidR="00AF015B">
        <w:rPr>
          <w:rFonts w:ascii="Arial" w:hAnsi="Arial" w:cs="Arial"/>
          <w:sz w:val="24"/>
        </w:rPr>
        <w:t>a aná</w:t>
      </w:r>
      <w:r w:rsidR="00C23B5A">
        <w:rPr>
          <w:rFonts w:ascii="Arial" w:hAnsi="Arial" w:cs="Arial"/>
          <w:sz w:val="24"/>
        </w:rPr>
        <w:t>lise através do histórico de posições do</w:t>
      </w:r>
      <w:r w:rsidR="00B13D4B">
        <w:rPr>
          <w:rFonts w:ascii="Arial" w:hAnsi="Arial" w:cs="Arial"/>
          <w:sz w:val="24"/>
        </w:rPr>
        <w:t>s</w:t>
      </w:r>
      <w:r w:rsidR="00C23B5A">
        <w:rPr>
          <w:rFonts w:ascii="Arial" w:hAnsi="Arial" w:cs="Arial"/>
          <w:sz w:val="24"/>
        </w:rPr>
        <w:t xml:space="preserve"> investidor</w:t>
      </w:r>
      <w:r w:rsidR="00B13D4B">
        <w:rPr>
          <w:rFonts w:ascii="Arial" w:hAnsi="Arial" w:cs="Arial"/>
          <w:sz w:val="24"/>
        </w:rPr>
        <w:t>es</w:t>
      </w:r>
      <w:r w:rsidR="00C23B5A">
        <w:rPr>
          <w:rFonts w:ascii="Arial" w:hAnsi="Arial" w:cs="Arial"/>
          <w:sz w:val="24"/>
        </w:rPr>
        <w:t xml:space="preserve"> em comparação </w:t>
      </w:r>
      <w:r w:rsidR="007E452A">
        <w:rPr>
          <w:rFonts w:ascii="Arial" w:hAnsi="Arial" w:cs="Arial"/>
          <w:sz w:val="24"/>
        </w:rPr>
        <w:t>com</w:t>
      </w:r>
      <w:r w:rsidR="00C23B5A">
        <w:rPr>
          <w:rFonts w:ascii="Arial" w:hAnsi="Arial" w:cs="Arial"/>
          <w:sz w:val="24"/>
        </w:rPr>
        <w:t xml:space="preserve"> desempenho histórico da ação, o q</w:t>
      </w:r>
      <w:r w:rsidR="007E452A">
        <w:rPr>
          <w:rFonts w:ascii="Arial" w:hAnsi="Arial" w:cs="Arial"/>
          <w:sz w:val="24"/>
        </w:rPr>
        <w:t xml:space="preserve">ue não </w:t>
      </w:r>
      <w:r w:rsidR="00595041">
        <w:rPr>
          <w:rFonts w:ascii="Arial" w:hAnsi="Arial" w:cs="Arial"/>
          <w:sz w:val="24"/>
        </w:rPr>
        <w:t>fora</w:t>
      </w:r>
      <w:r w:rsidR="007E452A">
        <w:rPr>
          <w:rFonts w:ascii="Arial" w:hAnsi="Arial" w:cs="Arial"/>
          <w:sz w:val="24"/>
        </w:rPr>
        <w:t xml:space="preserve"> feito neste estudo por se tratar de uma análise </w:t>
      </w:r>
      <w:r w:rsidR="00595041" w:rsidRPr="00595041">
        <w:rPr>
          <w:rFonts w:ascii="Arial" w:hAnsi="Arial" w:cs="Arial"/>
          <w:i/>
          <w:sz w:val="24"/>
        </w:rPr>
        <w:t>cross section</w:t>
      </w:r>
      <w:r w:rsidR="00C23B5A">
        <w:rPr>
          <w:rFonts w:ascii="Arial" w:hAnsi="Arial" w:cs="Arial"/>
          <w:sz w:val="24"/>
        </w:rPr>
        <w:t>.</w:t>
      </w:r>
    </w:p>
    <w:p w:rsidR="00405E89" w:rsidRDefault="00405E89" w:rsidP="00DB67D1">
      <w:pPr>
        <w:ind w:firstLine="708"/>
        <w:rPr>
          <w:rFonts w:ascii="Arial" w:hAnsi="Arial" w:cs="Arial"/>
          <w:sz w:val="24"/>
        </w:rPr>
      </w:pPr>
      <w:r w:rsidRPr="00D9668F">
        <w:rPr>
          <w:rFonts w:ascii="Arial" w:hAnsi="Arial" w:cs="Arial"/>
          <w:sz w:val="24"/>
        </w:rPr>
        <w:t xml:space="preserve">Uma das principais variáveis, que pela indisponibilidade de informações e dificuldade no tratamento não foi </w:t>
      </w:r>
      <w:r w:rsidR="00AF015B">
        <w:rPr>
          <w:rFonts w:ascii="Arial" w:hAnsi="Arial" w:cs="Arial"/>
          <w:sz w:val="24"/>
        </w:rPr>
        <w:t xml:space="preserve">discutida </w:t>
      </w:r>
      <w:r w:rsidRPr="00D9668F">
        <w:rPr>
          <w:rFonts w:ascii="Arial" w:hAnsi="Arial" w:cs="Arial"/>
          <w:sz w:val="24"/>
        </w:rPr>
        <w:t xml:space="preserve">aqui, é a estrutura de custos </w:t>
      </w:r>
      <w:r w:rsidR="00C23B5A">
        <w:rPr>
          <w:rFonts w:ascii="Arial" w:hAnsi="Arial" w:cs="Arial"/>
          <w:sz w:val="24"/>
        </w:rPr>
        <w:t>das ações</w:t>
      </w:r>
      <w:r w:rsidR="00B13D4B">
        <w:rPr>
          <w:rFonts w:ascii="Arial" w:hAnsi="Arial" w:cs="Arial"/>
          <w:sz w:val="24"/>
        </w:rPr>
        <w:t>, e</w:t>
      </w:r>
      <w:r w:rsidRPr="00D9668F">
        <w:rPr>
          <w:rFonts w:ascii="Arial" w:hAnsi="Arial" w:cs="Arial"/>
          <w:sz w:val="24"/>
        </w:rPr>
        <w:t xml:space="preserve">specialmente </w:t>
      </w:r>
      <w:r w:rsidR="00595041">
        <w:rPr>
          <w:rFonts w:ascii="Arial" w:hAnsi="Arial" w:cs="Arial"/>
          <w:sz w:val="24"/>
        </w:rPr>
        <w:t>d</w:t>
      </w:r>
      <w:r w:rsidRPr="00D9668F">
        <w:rPr>
          <w:rFonts w:ascii="Arial" w:hAnsi="Arial" w:cs="Arial"/>
          <w:sz w:val="24"/>
        </w:rPr>
        <w:t xml:space="preserve">a taxa de </w:t>
      </w:r>
      <w:r w:rsidR="00C23B5A">
        <w:rPr>
          <w:rFonts w:ascii="Arial" w:hAnsi="Arial" w:cs="Arial"/>
          <w:sz w:val="24"/>
        </w:rPr>
        <w:t>custódia</w:t>
      </w:r>
      <w:r w:rsidRPr="00D9668F">
        <w:rPr>
          <w:rFonts w:ascii="Arial" w:hAnsi="Arial" w:cs="Arial"/>
          <w:sz w:val="24"/>
        </w:rPr>
        <w:t xml:space="preserve">, que por se tratar </w:t>
      </w:r>
      <w:r w:rsidR="00C23B5A">
        <w:rPr>
          <w:rFonts w:ascii="Arial" w:hAnsi="Arial" w:cs="Arial"/>
          <w:sz w:val="24"/>
        </w:rPr>
        <w:t>de remuneração da corretora</w:t>
      </w:r>
      <w:r w:rsidRPr="00D9668F">
        <w:rPr>
          <w:rFonts w:ascii="Arial" w:hAnsi="Arial" w:cs="Arial"/>
          <w:sz w:val="24"/>
        </w:rPr>
        <w:t xml:space="preserve"> pelos serviços prestados</w:t>
      </w:r>
      <w:r w:rsidR="00595041">
        <w:rPr>
          <w:rFonts w:ascii="Arial" w:hAnsi="Arial" w:cs="Arial"/>
          <w:sz w:val="24"/>
        </w:rPr>
        <w:t>,</w:t>
      </w:r>
      <w:r w:rsidRPr="00D9668F">
        <w:rPr>
          <w:rFonts w:ascii="Arial" w:hAnsi="Arial" w:cs="Arial"/>
          <w:sz w:val="24"/>
        </w:rPr>
        <w:t xml:space="preserve"> está presente na totalidade </w:t>
      </w:r>
      <w:r w:rsidR="00C23B5A">
        <w:rPr>
          <w:rFonts w:ascii="Arial" w:hAnsi="Arial" w:cs="Arial"/>
          <w:sz w:val="24"/>
        </w:rPr>
        <w:t>da amostra e</w:t>
      </w:r>
      <w:r w:rsidRPr="00D9668F">
        <w:rPr>
          <w:rFonts w:ascii="Arial" w:hAnsi="Arial" w:cs="Arial"/>
          <w:sz w:val="24"/>
        </w:rPr>
        <w:t xml:space="preserve"> possu</w:t>
      </w:r>
      <w:r w:rsidR="00B13D4B">
        <w:rPr>
          <w:rFonts w:ascii="Arial" w:hAnsi="Arial" w:cs="Arial"/>
          <w:sz w:val="24"/>
        </w:rPr>
        <w:t>i</w:t>
      </w:r>
      <w:r w:rsidR="007E452A">
        <w:rPr>
          <w:rFonts w:ascii="Arial" w:hAnsi="Arial" w:cs="Arial"/>
          <w:sz w:val="24"/>
        </w:rPr>
        <w:t xml:space="preserve"> a mesma</w:t>
      </w:r>
      <w:r w:rsidRPr="00D9668F">
        <w:rPr>
          <w:rFonts w:ascii="Arial" w:hAnsi="Arial" w:cs="Arial"/>
          <w:sz w:val="24"/>
        </w:rPr>
        <w:t xml:space="preserve"> influência sobre a rentabilidade</w:t>
      </w:r>
      <w:r w:rsidR="00C23B5A">
        <w:rPr>
          <w:rFonts w:ascii="Arial" w:hAnsi="Arial" w:cs="Arial"/>
          <w:sz w:val="24"/>
        </w:rPr>
        <w:t xml:space="preserve"> dos ativos</w:t>
      </w:r>
      <w:r w:rsidRPr="00D9668F">
        <w:rPr>
          <w:rFonts w:ascii="Arial" w:hAnsi="Arial" w:cs="Arial"/>
          <w:sz w:val="24"/>
        </w:rPr>
        <w:t>.</w:t>
      </w:r>
    </w:p>
    <w:p w:rsidR="00DE1FC0" w:rsidRDefault="00DE1FC0" w:rsidP="00DB67D1">
      <w:pPr>
        <w:rPr>
          <w:rStyle w:val="Estilo11ptVermelho"/>
          <w:rFonts w:ascii="Arial" w:hAnsi="Arial" w:cs="Arial"/>
          <w:b/>
          <w:color w:val="auto"/>
          <w:sz w:val="24"/>
        </w:rPr>
      </w:pPr>
    </w:p>
    <w:p w:rsidR="00405E89" w:rsidRPr="00D9668F" w:rsidRDefault="005E1691" w:rsidP="00DB67D1">
      <w:pPr>
        <w:rPr>
          <w:rFonts w:ascii="Arial" w:hAnsi="Arial" w:cs="Arial"/>
          <w:b/>
          <w:sz w:val="24"/>
        </w:rPr>
      </w:pPr>
      <w:r>
        <w:rPr>
          <w:rStyle w:val="Estilo11ptVermelho"/>
          <w:rFonts w:ascii="Arial" w:hAnsi="Arial" w:cs="Arial"/>
          <w:b/>
          <w:color w:val="auto"/>
          <w:sz w:val="24"/>
        </w:rPr>
        <w:t>4</w:t>
      </w:r>
      <w:r w:rsidR="00C73AB8">
        <w:rPr>
          <w:rStyle w:val="Estilo11ptVermelho"/>
          <w:rFonts w:ascii="Arial" w:hAnsi="Arial" w:cs="Arial"/>
          <w:b/>
          <w:color w:val="auto"/>
          <w:sz w:val="24"/>
        </w:rPr>
        <w:t>.</w:t>
      </w:r>
      <w:r w:rsidR="007E5FCD" w:rsidRPr="00D9668F">
        <w:rPr>
          <w:rStyle w:val="Estilo11ptVermelho"/>
          <w:rFonts w:ascii="Arial" w:hAnsi="Arial" w:cs="Arial"/>
          <w:b/>
          <w:color w:val="auto"/>
          <w:sz w:val="24"/>
        </w:rPr>
        <w:t xml:space="preserve"> APRESENTAÇÃO </w:t>
      </w:r>
      <w:r w:rsidR="00405E89">
        <w:rPr>
          <w:rStyle w:val="Estilo11ptVermelho"/>
          <w:rFonts w:ascii="Arial" w:hAnsi="Arial" w:cs="Arial"/>
          <w:b/>
          <w:color w:val="auto"/>
          <w:sz w:val="24"/>
        </w:rPr>
        <w:t xml:space="preserve">E ANÁLISE </w:t>
      </w:r>
      <w:r w:rsidR="007E5FCD" w:rsidRPr="00D9668F">
        <w:rPr>
          <w:rStyle w:val="Estilo11ptVermelho"/>
          <w:rFonts w:ascii="Arial" w:hAnsi="Arial" w:cs="Arial"/>
          <w:b/>
          <w:color w:val="auto"/>
          <w:sz w:val="24"/>
        </w:rPr>
        <w:t>DOS RESULTADOS</w:t>
      </w:r>
    </w:p>
    <w:p w:rsidR="00A01EF9" w:rsidRDefault="004C3DF3" w:rsidP="00DB67D1">
      <w:pPr>
        <w:ind w:firstLine="708"/>
        <w:rPr>
          <w:rFonts w:ascii="Arial" w:hAnsi="Arial" w:cs="Arial"/>
          <w:sz w:val="24"/>
        </w:rPr>
      </w:pPr>
      <w:r>
        <w:rPr>
          <w:rFonts w:ascii="Arial" w:hAnsi="Arial" w:cs="Arial"/>
          <w:sz w:val="24"/>
        </w:rPr>
        <w:t xml:space="preserve">Para a análise sobre a posse de ações da empresa pelos </w:t>
      </w:r>
      <w:r w:rsidR="00A01EF9">
        <w:rPr>
          <w:rFonts w:ascii="Arial" w:hAnsi="Arial" w:cs="Arial"/>
          <w:sz w:val="24"/>
        </w:rPr>
        <w:t>investidores que trabalham em e</w:t>
      </w:r>
      <w:r>
        <w:rPr>
          <w:rFonts w:ascii="Arial" w:hAnsi="Arial" w:cs="Arial"/>
          <w:sz w:val="24"/>
        </w:rPr>
        <w:t>mpresas de capital aberto</w:t>
      </w:r>
      <w:r w:rsidR="00BD221F">
        <w:rPr>
          <w:rFonts w:ascii="Arial" w:hAnsi="Arial" w:cs="Arial"/>
          <w:sz w:val="24"/>
        </w:rPr>
        <w:t xml:space="preserve">, </w:t>
      </w:r>
      <w:r w:rsidR="00216AE2">
        <w:rPr>
          <w:rFonts w:ascii="Arial" w:hAnsi="Arial" w:cs="Arial"/>
          <w:sz w:val="24"/>
        </w:rPr>
        <w:t>2</w:t>
      </w:r>
      <w:r w:rsidR="008A2572">
        <w:rPr>
          <w:rFonts w:ascii="Arial" w:hAnsi="Arial" w:cs="Arial"/>
          <w:sz w:val="24"/>
        </w:rPr>
        <w:t>8</w:t>
      </w:r>
      <w:r w:rsidR="00691626">
        <w:rPr>
          <w:rFonts w:ascii="Arial" w:hAnsi="Arial" w:cs="Arial"/>
          <w:sz w:val="24"/>
        </w:rPr>
        <w:t xml:space="preserve"> </w:t>
      </w:r>
      <w:r w:rsidR="00BD221F">
        <w:rPr>
          <w:rFonts w:ascii="Arial" w:hAnsi="Arial" w:cs="Arial"/>
          <w:sz w:val="24"/>
        </w:rPr>
        <w:t xml:space="preserve">apresentam alguma ação </w:t>
      </w:r>
      <w:r w:rsidR="007E452A">
        <w:rPr>
          <w:rFonts w:ascii="Arial" w:hAnsi="Arial" w:cs="Arial"/>
          <w:sz w:val="24"/>
        </w:rPr>
        <w:t>em seu portfólio</w:t>
      </w:r>
      <w:r w:rsidR="008A2572">
        <w:rPr>
          <w:rFonts w:ascii="Arial" w:hAnsi="Arial" w:cs="Arial"/>
          <w:sz w:val="24"/>
        </w:rPr>
        <w:t>, o que representa 65</w:t>
      </w:r>
      <w:r w:rsidR="00216AE2">
        <w:rPr>
          <w:rFonts w:ascii="Arial" w:hAnsi="Arial" w:cs="Arial"/>
          <w:sz w:val="24"/>
        </w:rPr>
        <w:t>,</w:t>
      </w:r>
      <w:r w:rsidR="008A2572">
        <w:rPr>
          <w:rFonts w:ascii="Arial" w:hAnsi="Arial" w:cs="Arial"/>
          <w:sz w:val="24"/>
        </w:rPr>
        <w:t>1</w:t>
      </w:r>
      <w:r w:rsidR="00216AE2">
        <w:rPr>
          <w:rFonts w:ascii="Arial" w:hAnsi="Arial" w:cs="Arial"/>
          <w:sz w:val="24"/>
        </w:rPr>
        <w:t>%</w:t>
      </w:r>
      <w:r w:rsidR="007E452A">
        <w:rPr>
          <w:rFonts w:ascii="Arial" w:hAnsi="Arial" w:cs="Arial"/>
          <w:sz w:val="24"/>
        </w:rPr>
        <w:t xml:space="preserve"> da amostra</w:t>
      </w:r>
      <w:r w:rsidR="00BD221F">
        <w:rPr>
          <w:rFonts w:ascii="Arial" w:hAnsi="Arial" w:cs="Arial"/>
          <w:sz w:val="24"/>
        </w:rPr>
        <w:t xml:space="preserve">. </w:t>
      </w:r>
      <w:r w:rsidR="008A2572">
        <w:rPr>
          <w:rFonts w:ascii="Arial" w:hAnsi="Arial" w:cs="Arial"/>
          <w:sz w:val="24"/>
        </w:rPr>
        <w:t>Já</w:t>
      </w:r>
      <w:r w:rsidR="00BD221F">
        <w:rPr>
          <w:rFonts w:ascii="Arial" w:hAnsi="Arial" w:cs="Arial"/>
          <w:sz w:val="24"/>
        </w:rPr>
        <w:t xml:space="preserve"> </w:t>
      </w:r>
      <w:r w:rsidR="00595041">
        <w:rPr>
          <w:rFonts w:ascii="Arial" w:hAnsi="Arial" w:cs="Arial"/>
          <w:sz w:val="24"/>
        </w:rPr>
        <w:t xml:space="preserve">a </w:t>
      </w:r>
      <w:r w:rsidR="00BD221F">
        <w:rPr>
          <w:rFonts w:ascii="Arial" w:hAnsi="Arial" w:cs="Arial"/>
          <w:sz w:val="24"/>
        </w:rPr>
        <w:t xml:space="preserve">média de participação </w:t>
      </w:r>
      <w:r w:rsidR="008A2572">
        <w:rPr>
          <w:rFonts w:ascii="Arial" w:hAnsi="Arial" w:cs="Arial"/>
          <w:sz w:val="24"/>
        </w:rPr>
        <w:t>das ações da empresa no portfólio é de 33,1</w:t>
      </w:r>
      <w:r w:rsidR="00C73742">
        <w:rPr>
          <w:rFonts w:ascii="Arial" w:hAnsi="Arial" w:cs="Arial"/>
          <w:sz w:val="24"/>
        </w:rPr>
        <w:t>%, com uma mediana de 14</w:t>
      </w:r>
      <w:r w:rsidR="00BD221F">
        <w:rPr>
          <w:rFonts w:ascii="Arial" w:hAnsi="Arial" w:cs="Arial"/>
          <w:sz w:val="24"/>
        </w:rPr>
        <w:t>%.</w:t>
      </w:r>
      <w:r w:rsidR="00C73742">
        <w:rPr>
          <w:rFonts w:ascii="Arial" w:hAnsi="Arial" w:cs="Arial"/>
          <w:sz w:val="24"/>
        </w:rPr>
        <w:t xml:space="preserve"> </w:t>
      </w:r>
      <w:r w:rsidR="0047042E">
        <w:rPr>
          <w:rFonts w:ascii="Arial" w:hAnsi="Arial" w:cs="Arial"/>
          <w:sz w:val="24"/>
        </w:rPr>
        <w:t>Porém, somente em 15 destes (17</w:t>
      </w:r>
      <w:r w:rsidR="008A2572">
        <w:rPr>
          <w:rFonts w:ascii="Arial" w:hAnsi="Arial" w:cs="Arial"/>
          <w:sz w:val="24"/>
        </w:rPr>
        <w:t>,</w:t>
      </w:r>
      <w:r w:rsidR="0047042E">
        <w:rPr>
          <w:rFonts w:ascii="Arial" w:hAnsi="Arial" w:cs="Arial"/>
          <w:sz w:val="24"/>
        </w:rPr>
        <w:t>4</w:t>
      </w:r>
      <w:r w:rsidR="00A01EF9">
        <w:rPr>
          <w:rFonts w:ascii="Arial" w:hAnsi="Arial" w:cs="Arial"/>
          <w:sz w:val="24"/>
        </w:rPr>
        <w:t xml:space="preserve">% da amostra) o investimento nestas ações é o maior do portfólio. </w:t>
      </w:r>
    </w:p>
    <w:p w:rsidR="0047042E" w:rsidRDefault="00843ECE" w:rsidP="0047042E">
      <w:pPr>
        <w:ind w:firstLine="708"/>
        <w:rPr>
          <w:rFonts w:ascii="Arial" w:hAnsi="Arial" w:cs="Arial"/>
          <w:sz w:val="24"/>
        </w:rPr>
      </w:pPr>
      <w:r>
        <w:rPr>
          <w:rFonts w:ascii="Arial" w:hAnsi="Arial" w:cs="Arial"/>
          <w:sz w:val="24"/>
        </w:rPr>
        <w:t xml:space="preserve">Estes dados mostram a existência de </w:t>
      </w:r>
      <w:r w:rsidRPr="00A560C9">
        <w:rPr>
          <w:rFonts w:ascii="Arial" w:hAnsi="Arial" w:cs="Arial"/>
          <w:i/>
          <w:sz w:val="24"/>
        </w:rPr>
        <w:t>Home Bias</w:t>
      </w:r>
      <w:r>
        <w:rPr>
          <w:rFonts w:ascii="Arial" w:hAnsi="Arial" w:cs="Arial"/>
          <w:sz w:val="24"/>
        </w:rPr>
        <w:t xml:space="preserve"> na amostra analisada, pois conforme constatado, </w:t>
      </w:r>
      <w:r w:rsidR="0007210A">
        <w:rPr>
          <w:rFonts w:ascii="Arial" w:hAnsi="Arial" w:cs="Arial"/>
          <w:sz w:val="24"/>
        </w:rPr>
        <w:t>a maioria dos funcionários de empresas com capital aberto possui</w:t>
      </w:r>
      <w:r w:rsidR="0047042E">
        <w:rPr>
          <w:rFonts w:ascii="Arial" w:hAnsi="Arial" w:cs="Arial"/>
          <w:sz w:val="24"/>
        </w:rPr>
        <w:t xml:space="preserve"> </w:t>
      </w:r>
      <w:r>
        <w:rPr>
          <w:rFonts w:ascii="Arial" w:hAnsi="Arial" w:cs="Arial"/>
          <w:sz w:val="24"/>
        </w:rPr>
        <w:t>ações desta.</w:t>
      </w:r>
    </w:p>
    <w:p w:rsidR="00B864CF" w:rsidRDefault="00BD221F" w:rsidP="00393237">
      <w:pPr>
        <w:ind w:firstLine="708"/>
        <w:rPr>
          <w:rFonts w:ascii="Arial" w:hAnsi="Arial" w:cs="Arial"/>
          <w:sz w:val="24"/>
        </w:rPr>
      </w:pPr>
      <w:r>
        <w:rPr>
          <w:rFonts w:ascii="Arial" w:hAnsi="Arial" w:cs="Arial"/>
          <w:sz w:val="24"/>
        </w:rPr>
        <w:t>Já para a análise da amostra dos i</w:t>
      </w:r>
      <w:r w:rsidR="0007210A">
        <w:rPr>
          <w:rFonts w:ascii="Arial" w:hAnsi="Arial" w:cs="Arial"/>
          <w:sz w:val="24"/>
        </w:rPr>
        <w:t>nvestidores que não trabalham em</w:t>
      </w:r>
      <w:r>
        <w:rPr>
          <w:rFonts w:ascii="Arial" w:hAnsi="Arial" w:cs="Arial"/>
          <w:sz w:val="24"/>
        </w:rPr>
        <w:t xml:space="preserve"> empresa</w:t>
      </w:r>
      <w:r w:rsidR="0007210A">
        <w:rPr>
          <w:rFonts w:ascii="Arial" w:hAnsi="Arial" w:cs="Arial"/>
          <w:sz w:val="24"/>
        </w:rPr>
        <w:t xml:space="preserve"> de capital aberto</w:t>
      </w:r>
      <w:r>
        <w:rPr>
          <w:rFonts w:ascii="Arial" w:hAnsi="Arial" w:cs="Arial"/>
          <w:sz w:val="24"/>
        </w:rPr>
        <w:t>, f</w:t>
      </w:r>
      <w:r w:rsidR="00C73742">
        <w:rPr>
          <w:rFonts w:ascii="Arial" w:hAnsi="Arial" w:cs="Arial"/>
          <w:sz w:val="24"/>
        </w:rPr>
        <w:t>o</w:t>
      </w:r>
      <w:r w:rsidR="00595041">
        <w:rPr>
          <w:rFonts w:ascii="Arial" w:hAnsi="Arial" w:cs="Arial"/>
          <w:sz w:val="24"/>
        </w:rPr>
        <w:t>ram</w:t>
      </w:r>
      <w:r w:rsidR="00E743F1">
        <w:rPr>
          <w:rFonts w:ascii="Arial" w:hAnsi="Arial" w:cs="Arial"/>
          <w:sz w:val="24"/>
        </w:rPr>
        <w:t xml:space="preserve"> encontrados </w:t>
      </w:r>
      <w:r w:rsidR="00C73742">
        <w:rPr>
          <w:rFonts w:ascii="Arial" w:hAnsi="Arial" w:cs="Arial"/>
          <w:sz w:val="24"/>
        </w:rPr>
        <w:t>um percentual médio destas ações de 1,1%, com uma mediana de 0</w:t>
      </w:r>
      <w:r w:rsidR="0047042E">
        <w:rPr>
          <w:rFonts w:ascii="Arial" w:hAnsi="Arial" w:cs="Arial"/>
          <w:sz w:val="24"/>
        </w:rPr>
        <w:t>,01%</w:t>
      </w:r>
      <w:r w:rsidR="00C73742">
        <w:rPr>
          <w:rFonts w:ascii="Arial" w:hAnsi="Arial" w:cs="Arial"/>
          <w:sz w:val="24"/>
        </w:rPr>
        <w:t xml:space="preserve">, correspondendo a uma diferença média de </w:t>
      </w:r>
      <w:r w:rsidR="00DF5F51">
        <w:rPr>
          <w:rFonts w:ascii="Arial" w:hAnsi="Arial" w:cs="Arial"/>
          <w:sz w:val="24"/>
        </w:rPr>
        <w:t xml:space="preserve">31,6% </w:t>
      </w:r>
      <w:r w:rsidR="00E743F1">
        <w:rPr>
          <w:rFonts w:ascii="Arial" w:hAnsi="Arial" w:cs="Arial"/>
          <w:sz w:val="24"/>
        </w:rPr>
        <w:t>a mais em ações da empresa para a a</w:t>
      </w:r>
      <w:r w:rsidR="00A560C9">
        <w:rPr>
          <w:rFonts w:ascii="Arial" w:hAnsi="Arial" w:cs="Arial"/>
          <w:sz w:val="24"/>
        </w:rPr>
        <w:t>mostra dos investidores que detê</w:t>
      </w:r>
      <w:r w:rsidR="00E743F1">
        <w:rPr>
          <w:rFonts w:ascii="Arial" w:hAnsi="Arial" w:cs="Arial"/>
          <w:sz w:val="24"/>
        </w:rPr>
        <w:t xml:space="preserve">m </w:t>
      </w:r>
      <w:r>
        <w:rPr>
          <w:rFonts w:ascii="Arial" w:hAnsi="Arial" w:cs="Arial"/>
          <w:sz w:val="24"/>
        </w:rPr>
        <w:t xml:space="preserve">ações da empresa onde trabalham </w:t>
      </w:r>
      <w:r w:rsidR="0007210A">
        <w:rPr>
          <w:rFonts w:ascii="Arial" w:hAnsi="Arial" w:cs="Arial"/>
          <w:sz w:val="24"/>
        </w:rPr>
        <w:t xml:space="preserve">do que </w:t>
      </w:r>
      <w:r w:rsidR="00B13D4B">
        <w:rPr>
          <w:rFonts w:ascii="Arial" w:hAnsi="Arial" w:cs="Arial"/>
          <w:sz w:val="24"/>
        </w:rPr>
        <w:t>para a amostra d</w:t>
      </w:r>
      <w:r>
        <w:rPr>
          <w:rFonts w:ascii="Arial" w:hAnsi="Arial" w:cs="Arial"/>
          <w:sz w:val="24"/>
        </w:rPr>
        <w:t>os que não trabalham na empresa</w:t>
      </w:r>
      <w:r w:rsidR="00B864CF">
        <w:rPr>
          <w:rStyle w:val="Refdenotaderodap"/>
          <w:rFonts w:ascii="Arial" w:hAnsi="Arial" w:cs="Arial"/>
          <w:sz w:val="24"/>
        </w:rPr>
        <w:footnoteReference w:id="3"/>
      </w:r>
      <w:r>
        <w:rPr>
          <w:rFonts w:ascii="Arial" w:hAnsi="Arial" w:cs="Arial"/>
          <w:sz w:val="24"/>
        </w:rPr>
        <w:t>.</w:t>
      </w:r>
      <w:r w:rsidR="00393237">
        <w:rPr>
          <w:rFonts w:ascii="Arial" w:hAnsi="Arial" w:cs="Arial"/>
          <w:sz w:val="24"/>
        </w:rPr>
        <w:t xml:space="preserve"> </w:t>
      </w:r>
    </w:p>
    <w:p w:rsidR="000C2D95" w:rsidRDefault="00843ECE" w:rsidP="000C2D95">
      <w:pPr>
        <w:ind w:firstLine="708"/>
        <w:rPr>
          <w:rFonts w:ascii="Arial" w:hAnsi="Arial" w:cs="Arial"/>
          <w:sz w:val="24"/>
        </w:rPr>
      </w:pPr>
      <w:r>
        <w:rPr>
          <w:rFonts w:ascii="Arial" w:hAnsi="Arial" w:cs="Arial"/>
          <w:sz w:val="24"/>
        </w:rPr>
        <w:t xml:space="preserve">Com esta comparação podemos </w:t>
      </w:r>
      <w:r w:rsidR="00B13D4B">
        <w:rPr>
          <w:rFonts w:ascii="Arial" w:hAnsi="Arial" w:cs="Arial"/>
          <w:sz w:val="24"/>
        </w:rPr>
        <w:t xml:space="preserve">perceber que </w:t>
      </w:r>
      <w:r>
        <w:rPr>
          <w:rFonts w:ascii="Arial" w:hAnsi="Arial" w:cs="Arial"/>
          <w:sz w:val="24"/>
        </w:rPr>
        <w:t>os trabalhadores de empresas de capital aberto detêm um</w:t>
      </w:r>
      <w:r w:rsidR="0007210A">
        <w:rPr>
          <w:rFonts w:ascii="Arial" w:hAnsi="Arial" w:cs="Arial"/>
          <w:sz w:val="24"/>
        </w:rPr>
        <w:t>a</w:t>
      </w:r>
      <w:r>
        <w:rPr>
          <w:rFonts w:ascii="Arial" w:hAnsi="Arial" w:cs="Arial"/>
          <w:sz w:val="24"/>
        </w:rPr>
        <w:t xml:space="preserve"> participação maior do que os demais, por conta do excesso de confiança, ou da familiaridade que eles consideram ter com a empresa onde trabalham.</w:t>
      </w:r>
    </w:p>
    <w:tbl>
      <w:tblPr>
        <w:tblW w:w="8689" w:type="dxa"/>
        <w:jc w:val="center"/>
        <w:tblInd w:w="-356" w:type="dxa"/>
        <w:tblCellMar>
          <w:left w:w="70" w:type="dxa"/>
          <w:right w:w="70" w:type="dxa"/>
        </w:tblCellMar>
        <w:tblLook w:val="04A0" w:firstRow="1" w:lastRow="0" w:firstColumn="1" w:lastColumn="0" w:noHBand="0" w:noVBand="1"/>
      </w:tblPr>
      <w:tblGrid>
        <w:gridCol w:w="6047"/>
        <w:gridCol w:w="1302"/>
        <w:gridCol w:w="1340"/>
      </w:tblGrid>
      <w:tr w:rsidR="00332179" w:rsidRPr="00332179" w:rsidTr="00332179">
        <w:trPr>
          <w:trHeight w:val="315"/>
          <w:jc w:val="center"/>
        </w:trPr>
        <w:tc>
          <w:tcPr>
            <w:tcW w:w="6047" w:type="dxa"/>
            <w:tcBorders>
              <w:top w:val="nil"/>
              <w:left w:val="nil"/>
              <w:bottom w:val="double" w:sz="6" w:space="0" w:color="auto"/>
              <w:right w:val="nil"/>
            </w:tcBorders>
            <w:shd w:val="clear" w:color="000000" w:fill="FFFFFF"/>
            <w:noWrap/>
            <w:vAlign w:val="bottom"/>
            <w:hideMark/>
          </w:tcPr>
          <w:p w:rsidR="00332179" w:rsidRPr="00332179" w:rsidRDefault="00332179" w:rsidP="00332179">
            <w:pPr>
              <w:spacing w:after="0" w:line="240" w:lineRule="auto"/>
              <w:jc w:val="left"/>
              <w:rPr>
                <w:rFonts w:ascii="Calibri" w:hAnsi="Calibri"/>
                <w:b/>
                <w:bCs/>
                <w:color w:val="000000"/>
                <w:sz w:val="18"/>
                <w:szCs w:val="18"/>
                <w:lang w:eastAsia="pt-BR"/>
              </w:rPr>
            </w:pPr>
            <w:r w:rsidRPr="00332179">
              <w:rPr>
                <w:rFonts w:ascii="Calibri" w:hAnsi="Calibri"/>
                <w:b/>
                <w:bCs/>
                <w:color w:val="000000"/>
                <w:sz w:val="18"/>
                <w:szCs w:val="18"/>
                <w:lang w:eastAsia="pt-BR"/>
              </w:rPr>
              <w:lastRenderedPageBreak/>
              <w:t>Tabela 2: Dados gerais da amostra</w:t>
            </w:r>
          </w:p>
        </w:tc>
        <w:tc>
          <w:tcPr>
            <w:tcW w:w="1302" w:type="dxa"/>
            <w:tcBorders>
              <w:top w:val="nil"/>
              <w:left w:val="nil"/>
              <w:bottom w:val="double" w:sz="6" w:space="0" w:color="auto"/>
              <w:right w:val="nil"/>
            </w:tcBorders>
            <w:shd w:val="clear" w:color="000000" w:fill="FFFFFF"/>
            <w:noWrap/>
            <w:vAlign w:val="bottom"/>
            <w:hideMark/>
          </w:tcPr>
          <w:p w:rsidR="00332179" w:rsidRPr="00332179" w:rsidRDefault="00332179" w:rsidP="00332179">
            <w:pPr>
              <w:spacing w:after="0" w:line="240" w:lineRule="auto"/>
              <w:jc w:val="left"/>
              <w:rPr>
                <w:rFonts w:ascii="Calibri" w:hAnsi="Calibri"/>
                <w:b/>
                <w:bCs/>
                <w:color w:val="000000"/>
                <w:sz w:val="18"/>
                <w:szCs w:val="18"/>
                <w:lang w:eastAsia="pt-BR"/>
              </w:rPr>
            </w:pPr>
            <w:r w:rsidRPr="00332179">
              <w:rPr>
                <w:rFonts w:ascii="Calibri" w:hAnsi="Calibri"/>
                <w:b/>
                <w:bCs/>
                <w:color w:val="000000"/>
                <w:sz w:val="18"/>
                <w:szCs w:val="18"/>
                <w:lang w:eastAsia="pt-BR"/>
              </w:rPr>
              <w:t> </w:t>
            </w:r>
          </w:p>
        </w:tc>
        <w:tc>
          <w:tcPr>
            <w:tcW w:w="1340" w:type="dxa"/>
            <w:tcBorders>
              <w:top w:val="nil"/>
              <w:left w:val="nil"/>
              <w:bottom w:val="double" w:sz="6" w:space="0" w:color="auto"/>
              <w:right w:val="nil"/>
            </w:tcBorders>
            <w:shd w:val="clear" w:color="000000" w:fill="FFFFFF"/>
            <w:noWrap/>
            <w:vAlign w:val="bottom"/>
            <w:hideMark/>
          </w:tcPr>
          <w:p w:rsidR="00332179" w:rsidRPr="00332179" w:rsidRDefault="00332179" w:rsidP="00332179">
            <w:pPr>
              <w:spacing w:after="0" w:line="240" w:lineRule="auto"/>
              <w:jc w:val="left"/>
              <w:rPr>
                <w:rFonts w:ascii="Calibri" w:hAnsi="Calibri"/>
                <w:b/>
                <w:bCs/>
                <w:color w:val="000000"/>
                <w:sz w:val="18"/>
                <w:szCs w:val="18"/>
                <w:lang w:eastAsia="pt-BR"/>
              </w:rPr>
            </w:pPr>
            <w:r w:rsidRPr="00332179">
              <w:rPr>
                <w:rFonts w:ascii="Calibri" w:hAnsi="Calibri"/>
                <w:b/>
                <w:bCs/>
                <w:color w:val="000000"/>
                <w:sz w:val="18"/>
                <w:szCs w:val="18"/>
                <w:lang w:eastAsia="pt-BR"/>
              </w:rPr>
              <w:t> </w:t>
            </w:r>
          </w:p>
        </w:tc>
      </w:tr>
      <w:tr w:rsidR="00332179" w:rsidRPr="00332179" w:rsidTr="00332179">
        <w:trPr>
          <w:trHeight w:val="510"/>
          <w:jc w:val="center"/>
        </w:trPr>
        <w:tc>
          <w:tcPr>
            <w:tcW w:w="6047" w:type="dxa"/>
            <w:tcBorders>
              <w:top w:val="nil"/>
              <w:left w:val="nil"/>
              <w:bottom w:val="double" w:sz="6" w:space="0" w:color="auto"/>
              <w:right w:val="nil"/>
            </w:tcBorders>
            <w:shd w:val="clear" w:color="000000" w:fill="BFBFBF"/>
            <w:noWrap/>
            <w:vAlign w:val="bottom"/>
            <w:hideMark/>
          </w:tcPr>
          <w:p w:rsidR="00332179" w:rsidRPr="00332179" w:rsidRDefault="00332179" w:rsidP="00332179">
            <w:pPr>
              <w:spacing w:after="0" w:line="240" w:lineRule="auto"/>
              <w:jc w:val="left"/>
              <w:rPr>
                <w:rFonts w:ascii="Calibri" w:hAnsi="Calibri"/>
                <w:color w:val="000000"/>
                <w:sz w:val="18"/>
                <w:szCs w:val="18"/>
                <w:lang w:eastAsia="pt-BR"/>
              </w:rPr>
            </w:pPr>
            <w:r w:rsidRPr="00332179">
              <w:rPr>
                <w:rFonts w:ascii="Calibri" w:hAnsi="Calibri"/>
                <w:color w:val="000000"/>
                <w:sz w:val="18"/>
                <w:szCs w:val="18"/>
                <w:lang w:eastAsia="pt-BR"/>
              </w:rPr>
              <w:t> </w:t>
            </w:r>
          </w:p>
        </w:tc>
        <w:tc>
          <w:tcPr>
            <w:tcW w:w="1302" w:type="dxa"/>
            <w:tcBorders>
              <w:top w:val="nil"/>
              <w:left w:val="nil"/>
              <w:bottom w:val="double" w:sz="6" w:space="0" w:color="auto"/>
              <w:right w:val="nil"/>
            </w:tcBorders>
            <w:shd w:val="clear" w:color="000000" w:fill="BFBFBF"/>
            <w:vAlign w:val="center"/>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Quantidade e valores</w:t>
            </w:r>
          </w:p>
        </w:tc>
        <w:tc>
          <w:tcPr>
            <w:tcW w:w="1340" w:type="dxa"/>
            <w:tcBorders>
              <w:top w:val="nil"/>
              <w:left w:val="nil"/>
              <w:bottom w:val="double" w:sz="6" w:space="0" w:color="auto"/>
              <w:right w:val="nil"/>
            </w:tcBorders>
            <w:shd w:val="clear" w:color="000000" w:fill="BFBFBF"/>
            <w:noWrap/>
            <w:vAlign w:val="center"/>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Percentual</w:t>
            </w:r>
          </w:p>
        </w:tc>
      </w:tr>
      <w:tr w:rsidR="00332179" w:rsidRPr="00332179" w:rsidTr="00332179">
        <w:trPr>
          <w:trHeight w:val="315"/>
          <w:jc w:val="center"/>
        </w:trPr>
        <w:tc>
          <w:tcPr>
            <w:tcW w:w="6047"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left"/>
              <w:rPr>
                <w:rFonts w:ascii="Calibri" w:hAnsi="Calibri"/>
                <w:color w:val="000000"/>
                <w:sz w:val="18"/>
                <w:szCs w:val="18"/>
                <w:lang w:eastAsia="pt-BR"/>
              </w:rPr>
            </w:pPr>
            <w:r w:rsidRPr="00332179">
              <w:rPr>
                <w:rFonts w:ascii="Calibri" w:hAnsi="Calibri"/>
                <w:color w:val="000000"/>
                <w:sz w:val="18"/>
                <w:szCs w:val="18"/>
                <w:lang w:eastAsia="pt-BR"/>
              </w:rPr>
              <w:t>Total de Investidores da amostra</w:t>
            </w:r>
          </w:p>
        </w:tc>
        <w:tc>
          <w:tcPr>
            <w:tcW w:w="1302"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86</w:t>
            </w:r>
          </w:p>
        </w:tc>
        <w:tc>
          <w:tcPr>
            <w:tcW w:w="1340"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 </w:t>
            </w:r>
          </w:p>
        </w:tc>
      </w:tr>
      <w:tr w:rsidR="00332179" w:rsidRPr="00332179" w:rsidTr="00332179">
        <w:trPr>
          <w:trHeight w:val="300"/>
          <w:jc w:val="center"/>
        </w:trPr>
        <w:tc>
          <w:tcPr>
            <w:tcW w:w="6047"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left"/>
              <w:rPr>
                <w:rFonts w:ascii="Calibri" w:hAnsi="Calibri"/>
                <w:color w:val="000000"/>
                <w:sz w:val="18"/>
                <w:szCs w:val="18"/>
                <w:lang w:eastAsia="pt-BR"/>
              </w:rPr>
            </w:pPr>
            <w:r w:rsidRPr="00332179">
              <w:rPr>
                <w:rFonts w:ascii="Calibri" w:hAnsi="Calibri"/>
                <w:color w:val="000000"/>
                <w:sz w:val="18"/>
                <w:szCs w:val="18"/>
                <w:lang w:eastAsia="pt-BR"/>
              </w:rPr>
              <w:t>Quantidade de ativos diferentes em posse dos investidores</w:t>
            </w:r>
          </w:p>
        </w:tc>
        <w:tc>
          <w:tcPr>
            <w:tcW w:w="1302"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121</w:t>
            </w:r>
          </w:p>
        </w:tc>
        <w:tc>
          <w:tcPr>
            <w:tcW w:w="1340"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 </w:t>
            </w:r>
          </w:p>
        </w:tc>
      </w:tr>
      <w:tr w:rsidR="00332179" w:rsidRPr="00332179" w:rsidTr="00332179">
        <w:trPr>
          <w:trHeight w:val="300"/>
          <w:jc w:val="center"/>
        </w:trPr>
        <w:tc>
          <w:tcPr>
            <w:tcW w:w="6047"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left"/>
              <w:rPr>
                <w:rFonts w:ascii="Calibri" w:hAnsi="Calibri"/>
                <w:color w:val="000000"/>
                <w:sz w:val="18"/>
                <w:szCs w:val="18"/>
                <w:lang w:eastAsia="pt-BR"/>
              </w:rPr>
            </w:pPr>
            <w:r w:rsidRPr="00332179">
              <w:rPr>
                <w:rFonts w:ascii="Calibri" w:hAnsi="Calibri"/>
                <w:color w:val="000000"/>
                <w:sz w:val="18"/>
                <w:szCs w:val="18"/>
                <w:lang w:eastAsia="pt-BR"/>
              </w:rPr>
              <w:t>Média de portfólio</w:t>
            </w:r>
          </w:p>
        </w:tc>
        <w:tc>
          <w:tcPr>
            <w:tcW w:w="1302"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Pr>
                <w:rFonts w:ascii="Calibri" w:hAnsi="Calibri"/>
                <w:color w:val="000000"/>
                <w:sz w:val="18"/>
                <w:szCs w:val="18"/>
                <w:lang w:eastAsia="pt-BR"/>
              </w:rPr>
              <w:t xml:space="preserve"> R$</w:t>
            </w:r>
            <w:r w:rsidRPr="00332179">
              <w:rPr>
                <w:rFonts w:ascii="Calibri" w:hAnsi="Calibri"/>
                <w:color w:val="000000"/>
                <w:sz w:val="18"/>
                <w:szCs w:val="18"/>
                <w:lang w:eastAsia="pt-BR"/>
              </w:rPr>
              <w:t xml:space="preserve"> 413.496 </w:t>
            </w:r>
          </w:p>
        </w:tc>
        <w:tc>
          <w:tcPr>
            <w:tcW w:w="1340"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 </w:t>
            </w:r>
          </w:p>
        </w:tc>
      </w:tr>
      <w:tr w:rsidR="00332179" w:rsidRPr="00332179" w:rsidTr="00332179">
        <w:trPr>
          <w:trHeight w:val="300"/>
          <w:jc w:val="center"/>
        </w:trPr>
        <w:tc>
          <w:tcPr>
            <w:tcW w:w="6047" w:type="dxa"/>
            <w:tcBorders>
              <w:top w:val="nil"/>
              <w:left w:val="nil"/>
              <w:bottom w:val="nil"/>
              <w:right w:val="nil"/>
            </w:tcBorders>
            <w:shd w:val="clear" w:color="000000" w:fill="FFFFFF"/>
            <w:vAlign w:val="bottom"/>
            <w:hideMark/>
          </w:tcPr>
          <w:p w:rsidR="00332179" w:rsidRPr="00332179" w:rsidRDefault="00332179" w:rsidP="00332179">
            <w:pPr>
              <w:spacing w:after="0" w:line="240" w:lineRule="auto"/>
              <w:ind w:firstLineChars="100" w:firstLine="180"/>
              <w:jc w:val="left"/>
              <w:rPr>
                <w:rFonts w:ascii="Calibri" w:hAnsi="Calibri"/>
                <w:i/>
                <w:iCs/>
                <w:color w:val="000000"/>
                <w:sz w:val="18"/>
                <w:szCs w:val="18"/>
                <w:lang w:eastAsia="pt-BR"/>
              </w:rPr>
            </w:pPr>
            <w:r w:rsidRPr="00332179">
              <w:rPr>
                <w:rFonts w:ascii="Calibri" w:hAnsi="Calibri"/>
                <w:i/>
                <w:iCs/>
                <w:color w:val="000000"/>
                <w:sz w:val="18"/>
                <w:szCs w:val="18"/>
                <w:lang w:eastAsia="pt-BR"/>
              </w:rPr>
              <w:t>M</w:t>
            </w:r>
            <w:r>
              <w:rPr>
                <w:rFonts w:ascii="Calibri" w:hAnsi="Calibri"/>
                <w:i/>
                <w:iCs/>
                <w:color w:val="000000"/>
                <w:sz w:val="18"/>
                <w:szCs w:val="18"/>
                <w:lang w:eastAsia="pt-BR"/>
              </w:rPr>
              <w:t>e</w:t>
            </w:r>
            <w:r w:rsidRPr="00332179">
              <w:rPr>
                <w:rFonts w:ascii="Calibri" w:hAnsi="Calibri"/>
                <w:i/>
                <w:iCs/>
                <w:color w:val="000000"/>
                <w:sz w:val="18"/>
                <w:szCs w:val="18"/>
                <w:lang w:eastAsia="pt-BR"/>
              </w:rPr>
              <w:t>diana</w:t>
            </w:r>
          </w:p>
        </w:tc>
        <w:tc>
          <w:tcPr>
            <w:tcW w:w="1302"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Pr>
                <w:rFonts w:ascii="Calibri" w:hAnsi="Calibri"/>
                <w:color w:val="000000"/>
                <w:sz w:val="18"/>
                <w:szCs w:val="18"/>
                <w:lang w:eastAsia="pt-BR"/>
              </w:rPr>
              <w:t xml:space="preserve"> R$</w:t>
            </w:r>
            <w:r w:rsidRPr="00332179">
              <w:rPr>
                <w:rFonts w:ascii="Calibri" w:hAnsi="Calibri"/>
                <w:color w:val="000000"/>
                <w:sz w:val="18"/>
                <w:szCs w:val="18"/>
                <w:lang w:eastAsia="pt-BR"/>
              </w:rPr>
              <w:t xml:space="preserve"> 100.162 </w:t>
            </w:r>
          </w:p>
        </w:tc>
        <w:tc>
          <w:tcPr>
            <w:tcW w:w="1340"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 </w:t>
            </w:r>
          </w:p>
        </w:tc>
      </w:tr>
      <w:tr w:rsidR="00332179" w:rsidRPr="00332179" w:rsidTr="00332179">
        <w:trPr>
          <w:trHeight w:val="300"/>
          <w:jc w:val="center"/>
        </w:trPr>
        <w:tc>
          <w:tcPr>
            <w:tcW w:w="6047" w:type="dxa"/>
            <w:tcBorders>
              <w:top w:val="nil"/>
              <w:left w:val="nil"/>
              <w:bottom w:val="nil"/>
              <w:right w:val="nil"/>
            </w:tcBorders>
            <w:shd w:val="clear" w:color="000000" w:fill="FFFFFF"/>
            <w:vAlign w:val="bottom"/>
            <w:hideMark/>
          </w:tcPr>
          <w:p w:rsidR="00332179" w:rsidRPr="00332179" w:rsidRDefault="00332179" w:rsidP="00332179">
            <w:pPr>
              <w:spacing w:after="0" w:line="240" w:lineRule="auto"/>
              <w:ind w:firstLineChars="100" w:firstLine="180"/>
              <w:jc w:val="left"/>
              <w:rPr>
                <w:rFonts w:ascii="Calibri" w:hAnsi="Calibri"/>
                <w:i/>
                <w:iCs/>
                <w:color w:val="000000"/>
                <w:sz w:val="18"/>
                <w:szCs w:val="18"/>
                <w:lang w:eastAsia="pt-BR"/>
              </w:rPr>
            </w:pPr>
            <w:r w:rsidRPr="00332179">
              <w:rPr>
                <w:rFonts w:ascii="Calibri" w:hAnsi="Calibri"/>
                <w:i/>
                <w:iCs/>
                <w:color w:val="000000"/>
                <w:sz w:val="18"/>
                <w:szCs w:val="18"/>
                <w:lang w:eastAsia="pt-BR"/>
              </w:rPr>
              <w:t> </w:t>
            </w:r>
          </w:p>
        </w:tc>
        <w:tc>
          <w:tcPr>
            <w:tcW w:w="1302"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 </w:t>
            </w:r>
          </w:p>
        </w:tc>
        <w:tc>
          <w:tcPr>
            <w:tcW w:w="1340"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 </w:t>
            </w:r>
          </w:p>
        </w:tc>
      </w:tr>
      <w:tr w:rsidR="00332179" w:rsidRPr="00332179" w:rsidTr="00332179">
        <w:trPr>
          <w:trHeight w:val="300"/>
          <w:jc w:val="center"/>
        </w:trPr>
        <w:tc>
          <w:tcPr>
            <w:tcW w:w="6047" w:type="dxa"/>
            <w:tcBorders>
              <w:top w:val="nil"/>
              <w:left w:val="nil"/>
              <w:bottom w:val="nil"/>
              <w:right w:val="nil"/>
            </w:tcBorders>
            <w:shd w:val="clear" w:color="000000" w:fill="FFFFFF"/>
            <w:vAlign w:val="bottom"/>
            <w:hideMark/>
          </w:tcPr>
          <w:p w:rsidR="00332179" w:rsidRPr="00332179" w:rsidRDefault="00332179" w:rsidP="00332179">
            <w:pPr>
              <w:spacing w:after="0" w:line="240" w:lineRule="auto"/>
              <w:jc w:val="left"/>
              <w:rPr>
                <w:rFonts w:ascii="Calibri" w:hAnsi="Calibri"/>
                <w:color w:val="000000"/>
                <w:sz w:val="18"/>
                <w:szCs w:val="18"/>
                <w:lang w:eastAsia="pt-BR"/>
              </w:rPr>
            </w:pPr>
            <w:r w:rsidRPr="00332179">
              <w:rPr>
                <w:rFonts w:ascii="Calibri" w:hAnsi="Calibri"/>
                <w:color w:val="000000"/>
                <w:sz w:val="18"/>
                <w:szCs w:val="18"/>
                <w:lang w:eastAsia="pt-BR"/>
              </w:rPr>
              <w:t>Investidores que trabalham em empresa de capital aberto</w:t>
            </w:r>
          </w:p>
        </w:tc>
        <w:tc>
          <w:tcPr>
            <w:tcW w:w="1302"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43</w:t>
            </w:r>
          </w:p>
        </w:tc>
        <w:tc>
          <w:tcPr>
            <w:tcW w:w="1340"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50,0%</w:t>
            </w:r>
          </w:p>
        </w:tc>
      </w:tr>
      <w:tr w:rsidR="00332179" w:rsidRPr="00332179" w:rsidTr="00332179">
        <w:trPr>
          <w:trHeight w:val="285"/>
          <w:jc w:val="center"/>
        </w:trPr>
        <w:tc>
          <w:tcPr>
            <w:tcW w:w="6047" w:type="dxa"/>
            <w:tcBorders>
              <w:top w:val="nil"/>
              <w:left w:val="nil"/>
              <w:bottom w:val="nil"/>
              <w:right w:val="nil"/>
            </w:tcBorders>
            <w:shd w:val="clear" w:color="000000" w:fill="FFFFFF"/>
            <w:vAlign w:val="bottom"/>
            <w:hideMark/>
          </w:tcPr>
          <w:p w:rsidR="00332179" w:rsidRPr="00332179" w:rsidRDefault="00332179" w:rsidP="00332179">
            <w:pPr>
              <w:spacing w:after="0" w:line="240" w:lineRule="auto"/>
              <w:jc w:val="left"/>
              <w:rPr>
                <w:rFonts w:ascii="Calibri" w:hAnsi="Calibri"/>
                <w:color w:val="000000"/>
                <w:sz w:val="18"/>
                <w:szCs w:val="18"/>
                <w:lang w:eastAsia="pt-BR"/>
              </w:rPr>
            </w:pPr>
            <w:r w:rsidRPr="00332179">
              <w:rPr>
                <w:rFonts w:ascii="Calibri" w:hAnsi="Calibri"/>
                <w:color w:val="000000"/>
                <w:sz w:val="18"/>
                <w:szCs w:val="18"/>
                <w:lang w:eastAsia="pt-BR"/>
              </w:rPr>
              <w:t>Investidores que possuem alguma ação da empresa onde trabalham</w:t>
            </w:r>
          </w:p>
        </w:tc>
        <w:tc>
          <w:tcPr>
            <w:tcW w:w="1302"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28</w:t>
            </w:r>
          </w:p>
        </w:tc>
        <w:tc>
          <w:tcPr>
            <w:tcW w:w="1340" w:type="dxa"/>
            <w:tcBorders>
              <w:top w:val="nil"/>
              <w:left w:val="nil"/>
              <w:bottom w:val="nil"/>
              <w:right w:val="nil"/>
            </w:tcBorders>
            <w:shd w:val="clear" w:color="000000" w:fill="FFFFFF"/>
            <w:noWrap/>
            <w:vAlign w:val="bottom"/>
            <w:hideMark/>
          </w:tcPr>
          <w:p w:rsidR="00332179" w:rsidRPr="00332179" w:rsidRDefault="00595041" w:rsidP="00595041">
            <w:pPr>
              <w:spacing w:after="0" w:line="240" w:lineRule="auto"/>
              <w:jc w:val="center"/>
              <w:rPr>
                <w:rFonts w:ascii="Calibri" w:hAnsi="Calibri"/>
                <w:color w:val="000000"/>
                <w:sz w:val="18"/>
                <w:szCs w:val="18"/>
                <w:lang w:eastAsia="pt-BR"/>
              </w:rPr>
            </w:pPr>
            <w:r>
              <w:rPr>
                <w:rFonts w:ascii="Calibri" w:hAnsi="Calibri"/>
                <w:color w:val="000000"/>
                <w:sz w:val="18"/>
                <w:szCs w:val="18"/>
                <w:lang w:eastAsia="pt-BR"/>
              </w:rPr>
              <w:t>65</w:t>
            </w:r>
            <w:r w:rsidR="00332179" w:rsidRPr="00332179">
              <w:rPr>
                <w:rFonts w:ascii="Calibri" w:hAnsi="Calibri"/>
                <w:color w:val="000000"/>
                <w:sz w:val="18"/>
                <w:szCs w:val="18"/>
                <w:lang w:eastAsia="pt-BR"/>
              </w:rPr>
              <w:t>,</w:t>
            </w:r>
            <w:r>
              <w:rPr>
                <w:rFonts w:ascii="Calibri" w:hAnsi="Calibri"/>
                <w:color w:val="000000"/>
                <w:sz w:val="18"/>
                <w:szCs w:val="18"/>
                <w:lang w:eastAsia="pt-BR"/>
              </w:rPr>
              <w:t>1</w:t>
            </w:r>
            <w:r w:rsidR="00332179" w:rsidRPr="00332179">
              <w:rPr>
                <w:rFonts w:ascii="Calibri" w:hAnsi="Calibri"/>
                <w:color w:val="000000"/>
                <w:sz w:val="18"/>
                <w:szCs w:val="18"/>
                <w:lang w:eastAsia="pt-BR"/>
              </w:rPr>
              <w:t>%</w:t>
            </w:r>
          </w:p>
        </w:tc>
      </w:tr>
      <w:tr w:rsidR="00332179" w:rsidRPr="00332179" w:rsidTr="00332179">
        <w:trPr>
          <w:trHeight w:val="300"/>
          <w:jc w:val="center"/>
        </w:trPr>
        <w:tc>
          <w:tcPr>
            <w:tcW w:w="6047" w:type="dxa"/>
            <w:tcBorders>
              <w:top w:val="nil"/>
              <w:left w:val="nil"/>
              <w:bottom w:val="nil"/>
              <w:right w:val="nil"/>
            </w:tcBorders>
            <w:shd w:val="clear" w:color="000000" w:fill="FFFFFF"/>
            <w:vAlign w:val="bottom"/>
            <w:hideMark/>
          </w:tcPr>
          <w:p w:rsidR="00332179" w:rsidRPr="00332179" w:rsidRDefault="00332179" w:rsidP="00332179">
            <w:pPr>
              <w:spacing w:after="0" w:line="240" w:lineRule="auto"/>
              <w:ind w:firstLineChars="100" w:firstLine="180"/>
              <w:jc w:val="left"/>
              <w:rPr>
                <w:rFonts w:ascii="Calibri" w:hAnsi="Calibri"/>
                <w:i/>
                <w:iCs/>
                <w:color w:val="000000"/>
                <w:sz w:val="18"/>
                <w:szCs w:val="18"/>
                <w:lang w:eastAsia="pt-BR"/>
              </w:rPr>
            </w:pPr>
            <w:r w:rsidRPr="00332179">
              <w:rPr>
                <w:rFonts w:ascii="Calibri" w:hAnsi="Calibri"/>
                <w:i/>
                <w:iCs/>
                <w:color w:val="000000"/>
                <w:sz w:val="18"/>
                <w:szCs w:val="18"/>
                <w:lang w:eastAsia="pt-BR"/>
              </w:rPr>
              <w:t>Média da participação no portfólio</w:t>
            </w:r>
          </w:p>
        </w:tc>
        <w:tc>
          <w:tcPr>
            <w:tcW w:w="1302"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 </w:t>
            </w:r>
          </w:p>
        </w:tc>
        <w:tc>
          <w:tcPr>
            <w:tcW w:w="1340"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33,1%</w:t>
            </w:r>
          </w:p>
        </w:tc>
      </w:tr>
      <w:tr w:rsidR="00332179" w:rsidRPr="00332179" w:rsidTr="00332179">
        <w:trPr>
          <w:trHeight w:val="300"/>
          <w:jc w:val="center"/>
        </w:trPr>
        <w:tc>
          <w:tcPr>
            <w:tcW w:w="6047" w:type="dxa"/>
            <w:tcBorders>
              <w:top w:val="nil"/>
              <w:left w:val="nil"/>
              <w:bottom w:val="nil"/>
              <w:right w:val="nil"/>
            </w:tcBorders>
            <w:shd w:val="clear" w:color="000000" w:fill="FFFFFF"/>
            <w:vAlign w:val="bottom"/>
            <w:hideMark/>
          </w:tcPr>
          <w:p w:rsidR="00332179" w:rsidRPr="00332179" w:rsidRDefault="00332179" w:rsidP="00332179">
            <w:pPr>
              <w:spacing w:after="0" w:line="240" w:lineRule="auto"/>
              <w:ind w:firstLineChars="100" w:firstLine="180"/>
              <w:jc w:val="left"/>
              <w:rPr>
                <w:rFonts w:ascii="Calibri" w:hAnsi="Calibri"/>
                <w:i/>
                <w:iCs/>
                <w:color w:val="000000"/>
                <w:sz w:val="18"/>
                <w:szCs w:val="18"/>
                <w:lang w:eastAsia="pt-BR"/>
              </w:rPr>
            </w:pPr>
            <w:r w:rsidRPr="00332179">
              <w:rPr>
                <w:rFonts w:ascii="Calibri" w:hAnsi="Calibri"/>
                <w:i/>
                <w:iCs/>
                <w:color w:val="000000"/>
                <w:sz w:val="18"/>
                <w:szCs w:val="18"/>
                <w:lang w:eastAsia="pt-BR"/>
              </w:rPr>
              <w:t>Mediana da participação no portfólio</w:t>
            </w:r>
          </w:p>
        </w:tc>
        <w:tc>
          <w:tcPr>
            <w:tcW w:w="1302"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 </w:t>
            </w:r>
          </w:p>
        </w:tc>
        <w:tc>
          <w:tcPr>
            <w:tcW w:w="1340"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14,0%</w:t>
            </w:r>
          </w:p>
        </w:tc>
      </w:tr>
      <w:tr w:rsidR="00332179" w:rsidRPr="00332179" w:rsidTr="00332179">
        <w:trPr>
          <w:trHeight w:val="300"/>
          <w:jc w:val="center"/>
        </w:trPr>
        <w:tc>
          <w:tcPr>
            <w:tcW w:w="6047" w:type="dxa"/>
            <w:tcBorders>
              <w:top w:val="nil"/>
              <w:left w:val="nil"/>
              <w:bottom w:val="nil"/>
              <w:right w:val="nil"/>
            </w:tcBorders>
            <w:shd w:val="clear" w:color="000000" w:fill="FFFFFF"/>
            <w:vAlign w:val="bottom"/>
            <w:hideMark/>
          </w:tcPr>
          <w:p w:rsidR="00332179" w:rsidRPr="00332179" w:rsidRDefault="00332179" w:rsidP="00332179">
            <w:pPr>
              <w:spacing w:after="0" w:line="240" w:lineRule="auto"/>
              <w:jc w:val="left"/>
              <w:rPr>
                <w:rFonts w:ascii="Calibri" w:hAnsi="Calibri"/>
                <w:color w:val="000000"/>
                <w:sz w:val="18"/>
                <w:szCs w:val="18"/>
                <w:lang w:eastAsia="pt-BR"/>
              </w:rPr>
            </w:pPr>
            <w:r w:rsidRPr="00332179">
              <w:rPr>
                <w:rFonts w:ascii="Calibri" w:hAnsi="Calibri"/>
                <w:color w:val="000000"/>
                <w:sz w:val="18"/>
                <w:szCs w:val="18"/>
                <w:lang w:eastAsia="pt-BR"/>
              </w:rPr>
              <w:t>Quantidade onde a ação da empresa é a maior do portfólio</w:t>
            </w:r>
          </w:p>
        </w:tc>
        <w:tc>
          <w:tcPr>
            <w:tcW w:w="1302"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15</w:t>
            </w:r>
          </w:p>
        </w:tc>
        <w:tc>
          <w:tcPr>
            <w:tcW w:w="1340"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17,4%</w:t>
            </w:r>
          </w:p>
        </w:tc>
      </w:tr>
      <w:tr w:rsidR="00332179" w:rsidRPr="00332179" w:rsidTr="00332179">
        <w:trPr>
          <w:trHeight w:val="300"/>
          <w:jc w:val="center"/>
        </w:trPr>
        <w:tc>
          <w:tcPr>
            <w:tcW w:w="6047" w:type="dxa"/>
            <w:tcBorders>
              <w:top w:val="nil"/>
              <w:left w:val="nil"/>
              <w:bottom w:val="nil"/>
              <w:right w:val="nil"/>
            </w:tcBorders>
            <w:shd w:val="clear" w:color="000000" w:fill="FFFFFF"/>
            <w:vAlign w:val="bottom"/>
            <w:hideMark/>
          </w:tcPr>
          <w:p w:rsidR="00332179" w:rsidRPr="00332179" w:rsidRDefault="00332179" w:rsidP="00332179">
            <w:pPr>
              <w:spacing w:after="0" w:line="240" w:lineRule="auto"/>
              <w:ind w:firstLineChars="100" w:firstLine="180"/>
              <w:jc w:val="left"/>
              <w:rPr>
                <w:rFonts w:ascii="Calibri" w:hAnsi="Calibri"/>
                <w:i/>
                <w:iCs/>
                <w:color w:val="000000"/>
                <w:sz w:val="18"/>
                <w:szCs w:val="18"/>
                <w:lang w:eastAsia="pt-BR"/>
              </w:rPr>
            </w:pPr>
            <w:r w:rsidRPr="00332179">
              <w:rPr>
                <w:rFonts w:ascii="Calibri" w:hAnsi="Calibri"/>
                <w:i/>
                <w:iCs/>
                <w:color w:val="000000"/>
                <w:sz w:val="18"/>
                <w:szCs w:val="18"/>
                <w:lang w:eastAsia="pt-BR"/>
              </w:rPr>
              <w:t> </w:t>
            </w:r>
          </w:p>
        </w:tc>
        <w:tc>
          <w:tcPr>
            <w:tcW w:w="1302"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 </w:t>
            </w:r>
          </w:p>
        </w:tc>
        <w:tc>
          <w:tcPr>
            <w:tcW w:w="1340"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 </w:t>
            </w:r>
          </w:p>
        </w:tc>
      </w:tr>
      <w:tr w:rsidR="00332179" w:rsidRPr="00332179" w:rsidTr="00332179">
        <w:trPr>
          <w:trHeight w:val="495"/>
          <w:jc w:val="center"/>
        </w:trPr>
        <w:tc>
          <w:tcPr>
            <w:tcW w:w="6047" w:type="dxa"/>
            <w:tcBorders>
              <w:top w:val="nil"/>
              <w:left w:val="nil"/>
              <w:bottom w:val="nil"/>
              <w:right w:val="nil"/>
            </w:tcBorders>
            <w:shd w:val="clear" w:color="000000" w:fill="FFFFFF"/>
            <w:vAlign w:val="bottom"/>
            <w:hideMark/>
          </w:tcPr>
          <w:p w:rsidR="00332179" w:rsidRPr="00332179" w:rsidRDefault="00332179" w:rsidP="00332179">
            <w:pPr>
              <w:spacing w:after="0" w:line="240" w:lineRule="auto"/>
              <w:jc w:val="left"/>
              <w:rPr>
                <w:rFonts w:ascii="Calibri" w:hAnsi="Calibri"/>
                <w:color w:val="000000"/>
                <w:sz w:val="18"/>
                <w:szCs w:val="18"/>
                <w:lang w:eastAsia="pt-BR"/>
              </w:rPr>
            </w:pPr>
            <w:r w:rsidRPr="00332179">
              <w:rPr>
                <w:rFonts w:ascii="Calibri" w:hAnsi="Calibri"/>
                <w:color w:val="000000"/>
                <w:sz w:val="18"/>
                <w:szCs w:val="18"/>
                <w:lang w:eastAsia="pt-BR"/>
              </w:rPr>
              <w:t>Participação média no portfólio dos investidores que não trabalham na empresa</w:t>
            </w:r>
          </w:p>
        </w:tc>
        <w:tc>
          <w:tcPr>
            <w:tcW w:w="1302"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 </w:t>
            </w:r>
          </w:p>
        </w:tc>
        <w:tc>
          <w:tcPr>
            <w:tcW w:w="1340" w:type="dxa"/>
            <w:tcBorders>
              <w:top w:val="nil"/>
              <w:left w:val="nil"/>
              <w:bottom w:val="nil"/>
              <w:right w:val="nil"/>
            </w:tcBorders>
            <w:shd w:val="clear" w:color="000000" w:fill="FFFFFF"/>
            <w:noWrap/>
            <w:vAlign w:val="bottom"/>
            <w:hideMark/>
          </w:tcPr>
          <w:p w:rsidR="00332179" w:rsidRPr="00332179" w:rsidRDefault="00595041" w:rsidP="00332179">
            <w:pPr>
              <w:spacing w:after="0" w:line="240" w:lineRule="auto"/>
              <w:jc w:val="center"/>
              <w:rPr>
                <w:rFonts w:ascii="Calibri" w:hAnsi="Calibri"/>
                <w:color w:val="000000"/>
                <w:sz w:val="18"/>
                <w:szCs w:val="18"/>
                <w:lang w:eastAsia="pt-BR"/>
              </w:rPr>
            </w:pPr>
            <w:r>
              <w:rPr>
                <w:rFonts w:ascii="Calibri" w:hAnsi="Calibri"/>
                <w:color w:val="000000"/>
                <w:sz w:val="18"/>
                <w:szCs w:val="18"/>
                <w:lang w:eastAsia="pt-BR"/>
              </w:rPr>
              <w:t>1,1</w:t>
            </w:r>
            <w:r w:rsidR="00332179" w:rsidRPr="00332179">
              <w:rPr>
                <w:rFonts w:ascii="Calibri" w:hAnsi="Calibri"/>
                <w:color w:val="000000"/>
                <w:sz w:val="18"/>
                <w:szCs w:val="18"/>
                <w:lang w:eastAsia="pt-BR"/>
              </w:rPr>
              <w:t>%</w:t>
            </w:r>
          </w:p>
        </w:tc>
      </w:tr>
      <w:tr w:rsidR="00332179" w:rsidRPr="00332179" w:rsidTr="00332179">
        <w:trPr>
          <w:trHeight w:val="300"/>
          <w:jc w:val="center"/>
        </w:trPr>
        <w:tc>
          <w:tcPr>
            <w:tcW w:w="6047" w:type="dxa"/>
            <w:tcBorders>
              <w:top w:val="nil"/>
              <w:left w:val="nil"/>
              <w:bottom w:val="nil"/>
              <w:right w:val="nil"/>
            </w:tcBorders>
            <w:shd w:val="clear" w:color="000000" w:fill="FFFFFF"/>
            <w:vAlign w:val="bottom"/>
            <w:hideMark/>
          </w:tcPr>
          <w:p w:rsidR="00332179" w:rsidRPr="00332179" w:rsidRDefault="00332179" w:rsidP="00332179">
            <w:pPr>
              <w:spacing w:after="0" w:line="240" w:lineRule="auto"/>
              <w:ind w:firstLineChars="100" w:firstLine="180"/>
              <w:jc w:val="left"/>
              <w:rPr>
                <w:rFonts w:ascii="Calibri" w:hAnsi="Calibri"/>
                <w:i/>
                <w:iCs/>
                <w:color w:val="000000"/>
                <w:sz w:val="18"/>
                <w:szCs w:val="18"/>
                <w:lang w:eastAsia="pt-BR"/>
              </w:rPr>
            </w:pPr>
            <w:r w:rsidRPr="00332179">
              <w:rPr>
                <w:rFonts w:ascii="Calibri" w:hAnsi="Calibri"/>
                <w:i/>
                <w:iCs/>
                <w:color w:val="000000"/>
                <w:sz w:val="18"/>
                <w:szCs w:val="18"/>
                <w:lang w:eastAsia="pt-BR"/>
              </w:rPr>
              <w:t>Mediana da participação no portfólio</w:t>
            </w:r>
          </w:p>
        </w:tc>
        <w:tc>
          <w:tcPr>
            <w:tcW w:w="1302"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 </w:t>
            </w:r>
          </w:p>
        </w:tc>
        <w:tc>
          <w:tcPr>
            <w:tcW w:w="1340"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0,01%</w:t>
            </w:r>
          </w:p>
        </w:tc>
      </w:tr>
      <w:tr w:rsidR="00332179" w:rsidRPr="00332179" w:rsidTr="00332179">
        <w:trPr>
          <w:trHeight w:val="300"/>
          <w:jc w:val="center"/>
        </w:trPr>
        <w:tc>
          <w:tcPr>
            <w:tcW w:w="6047" w:type="dxa"/>
            <w:tcBorders>
              <w:top w:val="nil"/>
              <w:left w:val="nil"/>
              <w:bottom w:val="nil"/>
              <w:right w:val="nil"/>
            </w:tcBorders>
            <w:shd w:val="clear" w:color="000000" w:fill="FFFFFF"/>
            <w:vAlign w:val="bottom"/>
            <w:hideMark/>
          </w:tcPr>
          <w:p w:rsidR="00332179" w:rsidRPr="00332179" w:rsidRDefault="00332179" w:rsidP="00332179">
            <w:pPr>
              <w:spacing w:after="0" w:line="240" w:lineRule="auto"/>
              <w:ind w:firstLineChars="100" w:firstLine="180"/>
              <w:jc w:val="left"/>
              <w:rPr>
                <w:rFonts w:ascii="Calibri" w:hAnsi="Calibri"/>
                <w:i/>
                <w:iCs/>
                <w:color w:val="000000"/>
                <w:sz w:val="18"/>
                <w:szCs w:val="18"/>
                <w:lang w:eastAsia="pt-BR"/>
              </w:rPr>
            </w:pPr>
            <w:r w:rsidRPr="00332179">
              <w:rPr>
                <w:rFonts w:ascii="Calibri" w:hAnsi="Calibri"/>
                <w:i/>
                <w:iCs/>
                <w:color w:val="000000"/>
                <w:sz w:val="18"/>
                <w:szCs w:val="18"/>
                <w:lang w:eastAsia="pt-BR"/>
              </w:rPr>
              <w:t> </w:t>
            </w:r>
          </w:p>
        </w:tc>
        <w:tc>
          <w:tcPr>
            <w:tcW w:w="1302"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 </w:t>
            </w:r>
          </w:p>
        </w:tc>
        <w:tc>
          <w:tcPr>
            <w:tcW w:w="1340"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 </w:t>
            </w:r>
          </w:p>
        </w:tc>
      </w:tr>
      <w:tr w:rsidR="00332179" w:rsidRPr="00332179" w:rsidTr="00332179">
        <w:trPr>
          <w:trHeight w:val="300"/>
          <w:jc w:val="center"/>
        </w:trPr>
        <w:tc>
          <w:tcPr>
            <w:tcW w:w="6047" w:type="dxa"/>
            <w:tcBorders>
              <w:top w:val="nil"/>
              <w:left w:val="nil"/>
              <w:bottom w:val="nil"/>
              <w:right w:val="nil"/>
            </w:tcBorders>
            <w:shd w:val="clear" w:color="000000" w:fill="FFFFFF"/>
            <w:vAlign w:val="bottom"/>
            <w:hideMark/>
          </w:tcPr>
          <w:p w:rsidR="00332179" w:rsidRPr="00332179" w:rsidRDefault="00332179" w:rsidP="00332179">
            <w:pPr>
              <w:spacing w:after="0" w:line="240" w:lineRule="auto"/>
              <w:jc w:val="left"/>
              <w:rPr>
                <w:rFonts w:ascii="Calibri" w:hAnsi="Calibri"/>
                <w:color w:val="000000"/>
                <w:sz w:val="18"/>
                <w:szCs w:val="18"/>
                <w:lang w:eastAsia="pt-BR"/>
              </w:rPr>
            </w:pPr>
            <w:r w:rsidRPr="00332179">
              <w:rPr>
                <w:rFonts w:ascii="Calibri" w:hAnsi="Calibri"/>
                <w:color w:val="000000"/>
                <w:sz w:val="18"/>
                <w:szCs w:val="18"/>
                <w:lang w:eastAsia="pt-BR"/>
              </w:rPr>
              <w:t>Média da diferença</w:t>
            </w:r>
          </w:p>
        </w:tc>
        <w:tc>
          <w:tcPr>
            <w:tcW w:w="1302"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 </w:t>
            </w:r>
          </w:p>
        </w:tc>
        <w:tc>
          <w:tcPr>
            <w:tcW w:w="1340" w:type="dxa"/>
            <w:tcBorders>
              <w:top w:val="nil"/>
              <w:left w:val="nil"/>
              <w:bottom w:val="nil"/>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31,6%</w:t>
            </w:r>
          </w:p>
        </w:tc>
      </w:tr>
      <w:tr w:rsidR="00332179" w:rsidRPr="00332179" w:rsidTr="00332179">
        <w:trPr>
          <w:trHeight w:val="315"/>
          <w:jc w:val="center"/>
        </w:trPr>
        <w:tc>
          <w:tcPr>
            <w:tcW w:w="6047" w:type="dxa"/>
            <w:tcBorders>
              <w:top w:val="nil"/>
              <w:left w:val="nil"/>
              <w:bottom w:val="double" w:sz="6" w:space="0" w:color="auto"/>
              <w:right w:val="nil"/>
            </w:tcBorders>
            <w:shd w:val="clear" w:color="000000" w:fill="FFFFFF"/>
            <w:vAlign w:val="bottom"/>
            <w:hideMark/>
          </w:tcPr>
          <w:p w:rsidR="00332179" w:rsidRPr="00332179" w:rsidRDefault="00332179" w:rsidP="00332179">
            <w:pPr>
              <w:spacing w:after="0" w:line="240" w:lineRule="auto"/>
              <w:ind w:firstLineChars="100" w:firstLine="180"/>
              <w:jc w:val="left"/>
              <w:rPr>
                <w:rFonts w:ascii="Calibri" w:hAnsi="Calibri"/>
                <w:i/>
                <w:iCs/>
                <w:color w:val="000000"/>
                <w:sz w:val="18"/>
                <w:szCs w:val="18"/>
                <w:lang w:eastAsia="pt-BR"/>
              </w:rPr>
            </w:pPr>
            <w:r w:rsidRPr="00332179">
              <w:rPr>
                <w:rFonts w:ascii="Calibri" w:hAnsi="Calibri"/>
                <w:i/>
                <w:iCs/>
                <w:color w:val="000000"/>
                <w:sz w:val="18"/>
                <w:szCs w:val="18"/>
                <w:lang w:eastAsia="pt-BR"/>
              </w:rPr>
              <w:t>Mediana da diferença</w:t>
            </w:r>
          </w:p>
        </w:tc>
        <w:tc>
          <w:tcPr>
            <w:tcW w:w="1302" w:type="dxa"/>
            <w:tcBorders>
              <w:top w:val="nil"/>
              <w:left w:val="nil"/>
              <w:bottom w:val="double" w:sz="6" w:space="0" w:color="auto"/>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 </w:t>
            </w:r>
          </w:p>
        </w:tc>
        <w:tc>
          <w:tcPr>
            <w:tcW w:w="1340" w:type="dxa"/>
            <w:tcBorders>
              <w:top w:val="nil"/>
              <w:left w:val="nil"/>
              <w:bottom w:val="double" w:sz="6" w:space="0" w:color="auto"/>
              <w:right w:val="nil"/>
            </w:tcBorders>
            <w:shd w:val="clear" w:color="000000" w:fill="FFFFFF"/>
            <w:noWrap/>
            <w:vAlign w:val="bottom"/>
            <w:hideMark/>
          </w:tcPr>
          <w:p w:rsidR="00332179" w:rsidRPr="00332179" w:rsidRDefault="00332179" w:rsidP="00332179">
            <w:pPr>
              <w:spacing w:after="0" w:line="240" w:lineRule="auto"/>
              <w:jc w:val="center"/>
              <w:rPr>
                <w:rFonts w:ascii="Calibri" w:hAnsi="Calibri"/>
                <w:color w:val="000000"/>
                <w:sz w:val="18"/>
                <w:szCs w:val="18"/>
                <w:lang w:eastAsia="pt-BR"/>
              </w:rPr>
            </w:pPr>
            <w:r w:rsidRPr="00332179">
              <w:rPr>
                <w:rFonts w:ascii="Calibri" w:hAnsi="Calibri"/>
                <w:color w:val="000000"/>
                <w:sz w:val="18"/>
                <w:szCs w:val="18"/>
                <w:lang w:eastAsia="pt-BR"/>
              </w:rPr>
              <w:t>14,0%</w:t>
            </w:r>
          </w:p>
        </w:tc>
      </w:tr>
    </w:tbl>
    <w:p w:rsidR="00AE5190" w:rsidRPr="0047042E" w:rsidRDefault="0047042E" w:rsidP="000C2D95">
      <w:pPr>
        <w:ind w:firstLine="708"/>
        <w:rPr>
          <w:rFonts w:ascii="Arial" w:hAnsi="Arial" w:cs="Arial"/>
          <w:sz w:val="16"/>
          <w:szCs w:val="18"/>
        </w:rPr>
      </w:pPr>
      <w:r w:rsidRPr="0047042E">
        <w:rPr>
          <w:rFonts w:ascii="Arial" w:hAnsi="Arial" w:cs="Arial"/>
          <w:sz w:val="16"/>
          <w:szCs w:val="18"/>
        </w:rPr>
        <w:t xml:space="preserve"> </w:t>
      </w:r>
    </w:p>
    <w:p w:rsidR="008E5CB9" w:rsidRDefault="00AE5190" w:rsidP="00393237">
      <w:pPr>
        <w:ind w:firstLine="709"/>
        <w:rPr>
          <w:rFonts w:ascii="Arial" w:hAnsi="Arial" w:cs="Arial"/>
          <w:sz w:val="24"/>
        </w:rPr>
      </w:pPr>
      <w:r>
        <w:rPr>
          <w:rFonts w:ascii="Arial" w:hAnsi="Arial" w:cs="Arial"/>
          <w:sz w:val="24"/>
        </w:rPr>
        <w:t>Quando separamos a amostra pelo tamanho do portfólio dos investidores</w:t>
      </w:r>
      <w:r w:rsidR="00B60722">
        <w:rPr>
          <w:rFonts w:ascii="Arial" w:hAnsi="Arial" w:cs="Arial"/>
          <w:sz w:val="24"/>
        </w:rPr>
        <w:t>,</w:t>
      </w:r>
      <w:r>
        <w:rPr>
          <w:rFonts w:ascii="Arial" w:hAnsi="Arial" w:cs="Arial"/>
          <w:sz w:val="24"/>
        </w:rPr>
        <w:t xml:space="preserve"> a metade</w:t>
      </w:r>
      <w:r w:rsidR="00B60722">
        <w:rPr>
          <w:rFonts w:ascii="Arial" w:hAnsi="Arial" w:cs="Arial"/>
          <w:sz w:val="24"/>
        </w:rPr>
        <w:t xml:space="preserve"> com os maiores</w:t>
      </w:r>
      <w:r>
        <w:rPr>
          <w:rFonts w:ascii="Arial" w:hAnsi="Arial" w:cs="Arial"/>
          <w:sz w:val="24"/>
        </w:rPr>
        <w:t xml:space="preserve"> portfólio</w:t>
      </w:r>
      <w:r w:rsidR="00B60722">
        <w:rPr>
          <w:rFonts w:ascii="Arial" w:hAnsi="Arial" w:cs="Arial"/>
          <w:sz w:val="24"/>
        </w:rPr>
        <w:t>s</w:t>
      </w:r>
      <w:r>
        <w:rPr>
          <w:rFonts w:ascii="Arial" w:hAnsi="Arial" w:cs="Arial"/>
          <w:sz w:val="24"/>
        </w:rPr>
        <w:t xml:space="preserve"> apresentam uma participação </w:t>
      </w:r>
      <w:r w:rsidR="00B60722">
        <w:rPr>
          <w:rFonts w:ascii="Arial" w:hAnsi="Arial" w:cs="Arial"/>
          <w:sz w:val="24"/>
        </w:rPr>
        <w:t xml:space="preserve">média </w:t>
      </w:r>
      <w:r>
        <w:rPr>
          <w:rFonts w:ascii="Arial" w:hAnsi="Arial" w:cs="Arial"/>
          <w:sz w:val="24"/>
        </w:rPr>
        <w:t>no portfólio dos investidores que trabalham em empresa</w:t>
      </w:r>
      <w:r w:rsidR="00B60722">
        <w:rPr>
          <w:rFonts w:ascii="Arial" w:hAnsi="Arial" w:cs="Arial"/>
          <w:sz w:val="24"/>
        </w:rPr>
        <w:t>s</w:t>
      </w:r>
      <w:r>
        <w:rPr>
          <w:rFonts w:ascii="Arial" w:hAnsi="Arial" w:cs="Arial"/>
          <w:sz w:val="24"/>
        </w:rPr>
        <w:t xml:space="preserve"> de capital aberto de 49</w:t>
      </w:r>
      <w:r w:rsidR="002E7AA0">
        <w:rPr>
          <w:rFonts w:ascii="Arial" w:hAnsi="Arial" w:cs="Arial"/>
          <w:sz w:val="24"/>
        </w:rPr>
        <w:t>,0% com uma mediana de 46,6%,</w:t>
      </w:r>
      <w:r>
        <w:rPr>
          <w:rFonts w:ascii="Arial" w:hAnsi="Arial" w:cs="Arial"/>
          <w:sz w:val="24"/>
        </w:rPr>
        <w:t xml:space="preserve"> enquanto que </w:t>
      </w:r>
      <w:r w:rsidR="00B60722">
        <w:rPr>
          <w:rFonts w:ascii="Arial" w:hAnsi="Arial" w:cs="Arial"/>
          <w:sz w:val="24"/>
        </w:rPr>
        <w:t xml:space="preserve">para </w:t>
      </w:r>
      <w:r>
        <w:rPr>
          <w:rFonts w:ascii="Arial" w:hAnsi="Arial" w:cs="Arial"/>
          <w:sz w:val="24"/>
        </w:rPr>
        <w:t xml:space="preserve">a metade </w:t>
      </w:r>
      <w:r w:rsidR="00B60722">
        <w:rPr>
          <w:rFonts w:ascii="Arial" w:hAnsi="Arial" w:cs="Arial"/>
          <w:sz w:val="24"/>
        </w:rPr>
        <w:t xml:space="preserve">com os </w:t>
      </w:r>
      <w:r>
        <w:rPr>
          <w:rFonts w:ascii="Arial" w:hAnsi="Arial" w:cs="Arial"/>
          <w:sz w:val="24"/>
        </w:rPr>
        <w:t>menor</w:t>
      </w:r>
      <w:r w:rsidR="00B60722">
        <w:rPr>
          <w:rFonts w:ascii="Arial" w:hAnsi="Arial" w:cs="Arial"/>
          <w:sz w:val="24"/>
        </w:rPr>
        <w:t>es</w:t>
      </w:r>
      <w:r w:rsidR="002E7AA0">
        <w:rPr>
          <w:rFonts w:ascii="Arial" w:hAnsi="Arial" w:cs="Arial"/>
          <w:sz w:val="24"/>
        </w:rPr>
        <w:t xml:space="preserve">, a participação média fica em 16,4% com </w:t>
      </w:r>
      <w:r w:rsidR="00B60722">
        <w:rPr>
          <w:rFonts w:ascii="Arial" w:hAnsi="Arial" w:cs="Arial"/>
          <w:sz w:val="24"/>
        </w:rPr>
        <w:t>um</w:t>
      </w:r>
      <w:r w:rsidR="002E7AA0">
        <w:rPr>
          <w:rFonts w:ascii="Arial" w:hAnsi="Arial" w:cs="Arial"/>
          <w:sz w:val="24"/>
        </w:rPr>
        <w:t xml:space="preserve">a mediana </w:t>
      </w:r>
      <w:r w:rsidR="00B60722">
        <w:rPr>
          <w:rFonts w:ascii="Arial" w:hAnsi="Arial" w:cs="Arial"/>
          <w:sz w:val="24"/>
        </w:rPr>
        <w:t>de</w:t>
      </w:r>
      <w:r w:rsidR="002E7AA0">
        <w:rPr>
          <w:rFonts w:ascii="Arial" w:hAnsi="Arial" w:cs="Arial"/>
          <w:sz w:val="24"/>
        </w:rPr>
        <w:t xml:space="preserve"> 0%. </w:t>
      </w:r>
    </w:p>
    <w:p w:rsidR="00B864CF" w:rsidRDefault="002E7AA0" w:rsidP="00393237">
      <w:pPr>
        <w:ind w:firstLine="709"/>
        <w:rPr>
          <w:rFonts w:ascii="Arial" w:hAnsi="Arial" w:cs="Arial"/>
          <w:sz w:val="24"/>
        </w:rPr>
      </w:pPr>
      <w:r>
        <w:rPr>
          <w:rFonts w:ascii="Arial" w:hAnsi="Arial" w:cs="Arial"/>
          <w:sz w:val="24"/>
        </w:rPr>
        <w:t xml:space="preserve">Já para </w:t>
      </w:r>
      <w:r w:rsidR="00B60722">
        <w:rPr>
          <w:rFonts w:ascii="Arial" w:hAnsi="Arial" w:cs="Arial"/>
          <w:sz w:val="24"/>
        </w:rPr>
        <w:t xml:space="preserve">o </w:t>
      </w:r>
      <w:r>
        <w:rPr>
          <w:rFonts w:ascii="Arial" w:hAnsi="Arial" w:cs="Arial"/>
          <w:sz w:val="24"/>
        </w:rPr>
        <w:t xml:space="preserve">percentual </w:t>
      </w:r>
      <w:r w:rsidR="00B60722">
        <w:rPr>
          <w:rFonts w:ascii="Arial" w:hAnsi="Arial" w:cs="Arial"/>
          <w:sz w:val="24"/>
        </w:rPr>
        <w:t xml:space="preserve">médio </w:t>
      </w:r>
      <w:r>
        <w:rPr>
          <w:rFonts w:ascii="Arial" w:hAnsi="Arial" w:cs="Arial"/>
          <w:sz w:val="24"/>
        </w:rPr>
        <w:t xml:space="preserve">destas ações no portfólio daqueles que não trabalham </w:t>
      </w:r>
      <w:r w:rsidR="00B60722">
        <w:rPr>
          <w:rFonts w:ascii="Arial" w:hAnsi="Arial" w:cs="Arial"/>
          <w:sz w:val="24"/>
        </w:rPr>
        <w:t>em empresas de capital aberto, ficou em</w:t>
      </w:r>
      <w:r>
        <w:rPr>
          <w:rFonts w:ascii="Arial" w:hAnsi="Arial" w:cs="Arial"/>
          <w:sz w:val="24"/>
        </w:rPr>
        <w:t xml:space="preserve"> 1,8% para a primeira metade e 0,4% para a segunda. </w:t>
      </w:r>
      <w:r w:rsidR="00393237">
        <w:rPr>
          <w:rFonts w:ascii="Arial" w:hAnsi="Arial" w:cs="Arial"/>
          <w:sz w:val="24"/>
        </w:rPr>
        <w:t xml:space="preserve">Para a diferença entre os investidores que trabalham </w:t>
      </w:r>
      <w:r w:rsidR="00B60722">
        <w:rPr>
          <w:rFonts w:ascii="Arial" w:hAnsi="Arial" w:cs="Arial"/>
          <w:sz w:val="24"/>
        </w:rPr>
        <w:t xml:space="preserve">em empresa de capital aberto </w:t>
      </w:r>
      <w:r w:rsidR="00393237">
        <w:rPr>
          <w:rFonts w:ascii="Arial" w:hAnsi="Arial" w:cs="Arial"/>
          <w:sz w:val="24"/>
        </w:rPr>
        <w:t xml:space="preserve">e os que não trabalham, a diferença média fica em 46,6% com </w:t>
      </w:r>
      <w:r w:rsidR="00B60722">
        <w:rPr>
          <w:rFonts w:ascii="Arial" w:hAnsi="Arial" w:cs="Arial"/>
          <w:sz w:val="24"/>
        </w:rPr>
        <w:t>um</w:t>
      </w:r>
      <w:r w:rsidR="00393237">
        <w:rPr>
          <w:rFonts w:ascii="Arial" w:hAnsi="Arial" w:cs="Arial"/>
          <w:sz w:val="24"/>
        </w:rPr>
        <w:t>a mediana em 45,8% para a metade dos investidores com os maiores portfólios. Para a outra metade a m</w:t>
      </w:r>
      <w:r w:rsidR="00B60722">
        <w:rPr>
          <w:rFonts w:ascii="Arial" w:hAnsi="Arial" w:cs="Arial"/>
          <w:sz w:val="24"/>
        </w:rPr>
        <w:t>é</w:t>
      </w:r>
      <w:r w:rsidR="00393237">
        <w:rPr>
          <w:rFonts w:ascii="Arial" w:hAnsi="Arial" w:cs="Arial"/>
          <w:sz w:val="24"/>
        </w:rPr>
        <w:t>dia da diferença fica em 15,9% com uma mediana de 0,1%.</w:t>
      </w:r>
    </w:p>
    <w:p w:rsidR="008E5CB9" w:rsidRDefault="008E5CB9" w:rsidP="00393237">
      <w:pPr>
        <w:ind w:firstLine="709"/>
        <w:rPr>
          <w:rFonts w:ascii="Arial" w:hAnsi="Arial" w:cs="Arial"/>
          <w:sz w:val="24"/>
        </w:rPr>
      </w:pPr>
    </w:p>
    <w:p w:rsidR="008E5CB9" w:rsidRDefault="008E5CB9" w:rsidP="00393237">
      <w:pPr>
        <w:ind w:firstLine="709"/>
        <w:rPr>
          <w:rFonts w:ascii="Arial" w:hAnsi="Arial" w:cs="Arial"/>
          <w:sz w:val="24"/>
        </w:rPr>
      </w:pPr>
    </w:p>
    <w:p w:rsidR="008E5CB9" w:rsidRDefault="008E5CB9" w:rsidP="00393237">
      <w:pPr>
        <w:ind w:firstLine="709"/>
        <w:rPr>
          <w:rFonts w:ascii="Arial" w:hAnsi="Arial" w:cs="Arial"/>
          <w:sz w:val="24"/>
        </w:rPr>
      </w:pPr>
    </w:p>
    <w:p w:rsidR="008E5CB9" w:rsidRDefault="008E5CB9" w:rsidP="00393237">
      <w:pPr>
        <w:ind w:firstLine="709"/>
        <w:rPr>
          <w:rFonts w:ascii="Arial" w:hAnsi="Arial" w:cs="Arial"/>
          <w:sz w:val="24"/>
        </w:rPr>
      </w:pPr>
    </w:p>
    <w:tbl>
      <w:tblPr>
        <w:tblW w:w="9740" w:type="dxa"/>
        <w:tblInd w:w="53" w:type="dxa"/>
        <w:tblCellMar>
          <w:left w:w="70" w:type="dxa"/>
          <w:right w:w="70" w:type="dxa"/>
        </w:tblCellMar>
        <w:tblLook w:val="04A0" w:firstRow="1" w:lastRow="0" w:firstColumn="1" w:lastColumn="0" w:noHBand="0" w:noVBand="1"/>
      </w:tblPr>
      <w:tblGrid>
        <w:gridCol w:w="4640"/>
        <w:gridCol w:w="1080"/>
        <w:gridCol w:w="1340"/>
        <w:gridCol w:w="1320"/>
        <w:gridCol w:w="1360"/>
      </w:tblGrid>
      <w:tr w:rsidR="00CB669B" w:rsidRPr="00CB669B" w:rsidTr="00CB669B">
        <w:trPr>
          <w:trHeight w:val="315"/>
        </w:trPr>
        <w:tc>
          <w:tcPr>
            <w:tcW w:w="4640" w:type="dxa"/>
            <w:tcBorders>
              <w:top w:val="nil"/>
              <w:left w:val="nil"/>
              <w:bottom w:val="double" w:sz="6" w:space="0" w:color="auto"/>
              <w:right w:val="nil"/>
            </w:tcBorders>
            <w:shd w:val="clear" w:color="000000" w:fill="FFFFFF"/>
            <w:noWrap/>
            <w:vAlign w:val="bottom"/>
            <w:hideMark/>
          </w:tcPr>
          <w:p w:rsidR="00CB669B" w:rsidRPr="00CB669B" w:rsidRDefault="00CB669B" w:rsidP="00CB669B">
            <w:pPr>
              <w:spacing w:after="0" w:line="240" w:lineRule="auto"/>
              <w:jc w:val="left"/>
              <w:rPr>
                <w:rFonts w:ascii="Calibri" w:hAnsi="Calibri"/>
                <w:b/>
                <w:bCs/>
                <w:color w:val="000000"/>
                <w:sz w:val="18"/>
                <w:szCs w:val="18"/>
                <w:lang w:eastAsia="pt-BR"/>
              </w:rPr>
            </w:pPr>
            <w:r w:rsidRPr="00CB669B">
              <w:rPr>
                <w:rFonts w:ascii="Calibri" w:hAnsi="Calibri"/>
                <w:b/>
                <w:bCs/>
                <w:color w:val="000000"/>
                <w:sz w:val="18"/>
                <w:szCs w:val="18"/>
                <w:lang w:eastAsia="pt-BR"/>
              </w:rPr>
              <w:lastRenderedPageBreak/>
              <w:t>Tabela 3: Maiores vs. Menores Portfólios</w:t>
            </w:r>
          </w:p>
        </w:tc>
        <w:tc>
          <w:tcPr>
            <w:tcW w:w="1080" w:type="dxa"/>
            <w:tcBorders>
              <w:top w:val="nil"/>
              <w:left w:val="nil"/>
              <w:bottom w:val="double" w:sz="6" w:space="0" w:color="auto"/>
              <w:right w:val="nil"/>
            </w:tcBorders>
            <w:shd w:val="clear" w:color="000000" w:fill="FFFFFF"/>
            <w:noWrap/>
            <w:vAlign w:val="bottom"/>
            <w:hideMark/>
          </w:tcPr>
          <w:p w:rsidR="00CB669B" w:rsidRPr="00CB669B" w:rsidRDefault="00CB669B" w:rsidP="00CB669B">
            <w:pPr>
              <w:spacing w:after="0" w:line="240" w:lineRule="auto"/>
              <w:jc w:val="left"/>
              <w:rPr>
                <w:rFonts w:ascii="Calibri" w:hAnsi="Calibri"/>
                <w:b/>
                <w:bCs/>
                <w:color w:val="000000"/>
                <w:sz w:val="18"/>
                <w:szCs w:val="18"/>
                <w:lang w:eastAsia="pt-BR"/>
              </w:rPr>
            </w:pPr>
            <w:r w:rsidRPr="00CB669B">
              <w:rPr>
                <w:rFonts w:ascii="Calibri" w:hAnsi="Calibri"/>
                <w:b/>
                <w:bCs/>
                <w:color w:val="000000"/>
                <w:sz w:val="18"/>
                <w:szCs w:val="18"/>
                <w:lang w:eastAsia="pt-BR"/>
              </w:rPr>
              <w:t> </w:t>
            </w:r>
          </w:p>
        </w:tc>
        <w:tc>
          <w:tcPr>
            <w:tcW w:w="1340" w:type="dxa"/>
            <w:tcBorders>
              <w:top w:val="nil"/>
              <w:left w:val="nil"/>
              <w:bottom w:val="double" w:sz="6" w:space="0" w:color="auto"/>
              <w:right w:val="nil"/>
            </w:tcBorders>
            <w:shd w:val="clear" w:color="000000" w:fill="FFFFFF"/>
            <w:noWrap/>
            <w:vAlign w:val="bottom"/>
            <w:hideMark/>
          </w:tcPr>
          <w:p w:rsidR="00CB669B" w:rsidRPr="00CB669B" w:rsidRDefault="00CB669B" w:rsidP="00CB669B">
            <w:pPr>
              <w:spacing w:after="0" w:line="240" w:lineRule="auto"/>
              <w:jc w:val="left"/>
              <w:rPr>
                <w:rFonts w:ascii="Calibri" w:hAnsi="Calibri"/>
                <w:b/>
                <w:bCs/>
                <w:color w:val="000000"/>
                <w:sz w:val="18"/>
                <w:szCs w:val="18"/>
                <w:lang w:eastAsia="pt-BR"/>
              </w:rPr>
            </w:pPr>
            <w:r w:rsidRPr="00CB669B">
              <w:rPr>
                <w:rFonts w:ascii="Calibri" w:hAnsi="Calibri"/>
                <w:b/>
                <w:bCs/>
                <w:color w:val="000000"/>
                <w:sz w:val="18"/>
                <w:szCs w:val="18"/>
                <w:lang w:eastAsia="pt-BR"/>
              </w:rPr>
              <w:t> </w:t>
            </w:r>
          </w:p>
        </w:tc>
        <w:tc>
          <w:tcPr>
            <w:tcW w:w="132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left"/>
              <w:rPr>
                <w:rFonts w:ascii="Calibri" w:hAnsi="Calibri"/>
                <w:color w:val="000000"/>
                <w:sz w:val="22"/>
                <w:lang w:eastAsia="pt-BR"/>
              </w:rPr>
            </w:pPr>
            <w:r w:rsidRPr="00CB669B">
              <w:rPr>
                <w:rFonts w:ascii="Calibri" w:hAnsi="Calibri"/>
                <w:color w:val="000000"/>
                <w:sz w:val="22"/>
                <w:szCs w:val="22"/>
                <w:lang w:eastAsia="pt-BR"/>
              </w:rPr>
              <w:t> </w:t>
            </w:r>
          </w:p>
        </w:tc>
        <w:tc>
          <w:tcPr>
            <w:tcW w:w="136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left"/>
              <w:rPr>
                <w:rFonts w:ascii="Calibri" w:hAnsi="Calibri"/>
                <w:color w:val="000000"/>
                <w:sz w:val="22"/>
                <w:lang w:eastAsia="pt-BR"/>
              </w:rPr>
            </w:pPr>
            <w:r w:rsidRPr="00CB669B">
              <w:rPr>
                <w:rFonts w:ascii="Calibri" w:hAnsi="Calibri"/>
                <w:color w:val="000000"/>
                <w:sz w:val="22"/>
                <w:szCs w:val="22"/>
                <w:lang w:eastAsia="pt-BR"/>
              </w:rPr>
              <w:t> </w:t>
            </w:r>
          </w:p>
        </w:tc>
      </w:tr>
      <w:tr w:rsidR="00CB669B" w:rsidRPr="00CB669B" w:rsidTr="00CB669B">
        <w:trPr>
          <w:trHeight w:val="315"/>
        </w:trPr>
        <w:tc>
          <w:tcPr>
            <w:tcW w:w="4640" w:type="dxa"/>
            <w:tcBorders>
              <w:top w:val="nil"/>
              <w:left w:val="nil"/>
              <w:bottom w:val="single" w:sz="4" w:space="0" w:color="auto"/>
              <w:right w:val="nil"/>
            </w:tcBorders>
            <w:shd w:val="clear" w:color="000000" w:fill="BFBFBF"/>
            <w:noWrap/>
            <w:vAlign w:val="bottom"/>
            <w:hideMark/>
          </w:tcPr>
          <w:p w:rsidR="00CB669B" w:rsidRPr="00CB669B" w:rsidRDefault="00CB669B" w:rsidP="00CB669B">
            <w:pPr>
              <w:spacing w:after="0" w:line="240" w:lineRule="auto"/>
              <w:jc w:val="left"/>
              <w:rPr>
                <w:rFonts w:ascii="Calibri" w:hAnsi="Calibri"/>
                <w:color w:val="000000"/>
                <w:sz w:val="18"/>
                <w:szCs w:val="18"/>
                <w:lang w:eastAsia="pt-BR"/>
              </w:rPr>
            </w:pPr>
            <w:r w:rsidRPr="00CB669B">
              <w:rPr>
                <w:rFonts w:ascii="Calibri" w:hAnsi="Calibri"/>
                <w:color w:val="000000"/>
                <w:sz w:val="18"/>
                <w:szCs w:val="18"/>
                <w:lang w:eastAsia="pt-BR"/>
              </w:rPr>
              <w:t> </w:t>
            </w:r>
          </w:p>
        </w:tc>
        <w:tc>
          <w:tcPr>
            <w:tcW w:w="2420" w:type="dxa"/>
            <w:gridSpan w:val="2"/>
            <w:tcBorders>
              <w:top w:val="double" w:sz="6" w:space="0" w:color="auto"/>
              <w:left w:val="nil"/>
              <w:bottom w:val="single" w:sz="4" w:space="0" w:color="auto"/>
              <w:right w:val="nil"/>
            </w:tcBorders>
            <w:shd w:val="clear" w:color="000000" w:fill="BFBFB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Maiores</w:t>
            </w:r>
          </w:p>
        </w:tc>
        <w:tc>
          <w:tcPr>
            <w:tcW w:w="2680" w:type="dxa"/>
            <w:gridSpan w:val="2"/>
            <w:tcBorders>
              <w:top w:val="double" w:sz="6" w:space="0" w:color="auto"/>
              <w:left w:val="nil"/>
              <w:bottom w:val="single" w:sz="4" w:space="0" w:color="auto"/>
              <w:right w:val="nil"/>
            </w:tcBorders>
            <w:shd w:val="clear" w:color="000000" w:fill="BFBFB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Menores</w:t>
            </w:r>
          </w:p>
        </w:tc>
      </w:tr>
      <w:tr w:rsidR="00CB669B" w:rsidRPr="00CB669B" w:rsidTr="00CB669B">
        <w:trPr>
          <w:trHeight w:val="315"/>
        </w:trPr>
        <w:tc>
          <w:tcPr>
            <w:tcW w:w="4640" w:type="dxa"/>
            <w:tcBorders>
              <w:top w:val="nil"/>
              <w:left w:val="nil"/>
              <w:bottom w:val="double" w:sz="6" w:space="0" w:color="auto"/>
              <w:right w:val="nil"/>
            </w:tcBorders>
            <w:shd w:val="clear" w:color="000000" w:fill="BFBFBF"/>
            <w:noWrap/>
            <w:vAlign w:val="bottom"/>
            <w:hideMark/>
          </w:tcPr>
          <w:p w:rsidR="00CB669B" w:rsidRPr="00CB669B" w:rsidRDefault="00CB669B" w:rsidP="00CB669B">
            <w:pPr>
              <w:spacing w:after="0" w:line="240" w:lineRule="auto"/>
              <w:jc w:val="left"/>
              <w:rPr>
                <w:rFonts w:ascii="Calibri" w:hAnsi="Calibri"/>
                <w:color w:val="000000"/>
                <w:sz w:val="18"/>
                <w:szCs w:val="18"/>
                <w:lang w:eastAsia="pt-BR"/>
              </w:rPr>
            </w:pPr>
            <w:r w:rsidRPr="00CB669B">
              <w:rPr>
                <w:rFonts w:ascii="Calibri" w:hAnsi="Calibri"/>
                <w:color w:val="000000"/>
                <w:sz w:val="18"/>
                <w:szCs w:val="18"/>
                <w:lang w:eastAsia="pt-BR"/>
              </w:rPr>
              <w:t> </w:t>
            </w:r>
          </w:p>
        </w:tc>
        <w:tc>
          <w:tcPr>
            <w:tcW w:w="1080" w:type="dxa"/>
            <w:tcBorders>
              <w:top w:val="nil"/>
              <w:left w:val="nil"/>
              <w:bottom w:val="double" w:sz="6" w:space="0" w:color="auto"/>
              <w:right w:val="nil"/>
            </w:tcBorders>
            <w:shd w:val="clear" w:color="000000" w:fill="BFBFB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Quantidade</w:t>
            </w:r>
          </w:p>
        </w:tc>
        <w:tc>
          <w:tcPr>
            <w:tcW w:w="1340" w:type="dxa"/>
            <w:tcBorders>
              <w:top w:val="nil"/>
              <w:left w:val="nil"/>
              <w:bottom w:val="double" w:sz="6" w:space="0" w:color="auto"/>
              <w:right w:val="nil"/>
            </w:tcBorders>
            <w:shd w:val="clear" w:color="000000" w:fill="BFBFB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Percentual</w:t>
            </w:r>
          </w:p>
        </w:tc>
        <w:tc>
          <w:tcPr>
            <w:tcW w:w="1320" w:type="dxa"/>
            <w:tcBorders>
              <w:top w:val="nil"/>
              <w:left w:val="nil"/>
              <w:bottom w:val="double" w:sz="6" w:space="0" w:color="auto"/>
              <w:right w:val="nil"/>
            </w:tcBorders>
            <w:shd w:val="clear" w:color="000000" w:fill="BFBFB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Quantidade</w:t>
            </w:r>
          </w:p>
        </w:tc>
        <w:tc>
          <w:tcPr>
            <w:tcW w:w="1360" w:type="dxa"/>
            <w:tcBorders>
              <w:top w:val="nil"/>
              <w:left w:val="nil"/>
              <w:bottom w:val="double" w:sz="6" w:space="0" w:color="auto"/>
              <w:right w:val="nil"/>
            </w:tcBorders>
            <w:shd w:val="clear" w:color="000000" w:fill="BFBFB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Percentual</w:t>
            </w:r>
          </w:p>
        </w:tc>
      </w:tr>
      <w:tr w:rsidR="00CB669B" w:rsidRPr="00CB669B" w:rsidTr="00B864CF">
        <w:trPr>
          <w:trHeight w:val="269"/>
        </w:trPr>
        <w:tc>
          <w:tcPr>
            <w:tcW w:w="4640" w:type="dxa"/>
            <w:tcBorders>
              <w:top w:val="nil"/>
              <w:left w:val="nil"/>
              <w:bottom w:val="nil"/>
              <w:right w:val="nil"/>
            </w:tcBorders>
            <w:shd w:val="clear" w:color="000000" w:fill="FFFFFF"/>
            <w:vAlign w:val="bottom"/>
            <w:hideMark/>
          </w:tcPr>
          <w:p w:rsidR="00CB669B" w:rsidRPr="00CB669B" w:rsidRDefault="00CB669B" w:rsidP="00CB669B">
            <w:pPr>
              <w:spacing w:after="0" w:line="240" w:lineRule="auto"/>
              <w:jc w:val="left"/>
              <w:rPr>
                <w:rFonts w:ascii="Calibri" w:hAnsi="Calibri"/>
                <w:color w:val="000000"/>
                <w:sz w:val="18"/>
                <w:szCs w:val="18"/>
                <w:lang w:eastAsia="pt-BR"/>
              </w:rPr>
            </w:pPr>
            <w:r w:rsidRPr="00CB669B">
              <w:rPr>
                <w:rFonts w:ascii="Calibri" w:hAnsi="Calibri"/>
                <w:color w:val="000000"/>
                <w:sz w:val="18"/>
                <w:szCs w:val="18"/>
                <w:lang w:eastAsia="pt-BR"/>
              </w:rPr>
              <w:t>Investidores que trabalham em empresa de capital aberto</w:t>
            </w:r>
          </w:p>
        </w:tc>
        <w:tc>
          <w:tcPr>
            <w:tcW w:w="108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22</w:t>
            </w:r>
          </w:p>
        </w:tc>
        <w:tc>
          <w:tcPr>
            <w:tcW w:w="134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51,2%</w:t>
            </w:r>
          </w:p>
        </w:tc>
        <w:tc>
          <w:tcPr>
            <w:tcW w:w="1320" w:type="dxa"/>
            <w:tcBorders>
              <w:top w:val="nil"/>
              <w:left w:val="single" w:sz="4" w:space="0" w:color="auto"/>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21</w:t>
            </w:r>
          </w:p>
        </w:tc>
        <w:tc>
          <w:tcPr>
            <w:tcW w:w="136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48,8%</w:t>
            </w:r>
          </w:p>
        </w:tc>
      </w:tr>
      <w:tr w:rsidR="00CB669B" w:rsidRPr="00CB669B" w:rsidTr="00CB669B">
        <w:trPr>
          <w:trHeight w:val="495"/>
        </w:trPr>
        <w:tc>
          <w:tcPr>
            <w:tcW w:w="4640" w:type="dxa"/>
            <w:tcBorders>
              <w:top w:val="nil"/>
              <w:left w:val="nil"/>
              <w:bottom w:val="nil"/>
              <w:right w:val="nil"/>
            </w:tcBorders>
            <w:shd w:val="clear" w:color="000000" w:fill="FFFFFF"/>
            <w:vAlign w:val="bottom"/>
            <w:hideMark/>
          </w:tcPr>
          <w:p w:rsidR="00CB669B" w:rsidRPr="00CB669B" w:rsidRDefault="00CB669B" w:rsidP="00CB669B">
            <w:pPr>
              <w:spacing w:after="0" w:line="240" w:lineRule="auto"/>
              <w:jc w:val="left"/>
              <w:rPr>
                <w:rFonts w:ascii="Calibri" w:hAnsi="Calibri"/>
                <w:color w:val="000000"/>
                <w:sz w:val="18"/>
                <w:szCs w:val="18"/>
                <w:lang w:eastAsia="pt-BR"/>
              </w:rPr>
            </w:pPr>
            <w:r w:rsidRPr="00CB669B">
              <w:rPr>
                <w:rFonts w:ascii="Calibri" w:hAnsi="Calibri"/>
                <w:color w:val="000000"/>
                <w:sz w:val="18"/>
                <w:szCs w:val="18"/>
                <w:lang w:eastAsia="pt-BR"/>
              </w:rPr>
              <w:t>Investidores que possuem alguma ação da empresa onde trabalham</w:t>
            </w:r>
          </w:p>
        </w:tc>
        <w:tc>
          <w:tcPr>
            <w:tcW w:w="108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20</w:t>
            </w:r>
          </w:p>
        </w:tc>
        <w:tc>
          <w:tcPr>
            <w:tcW w:w="134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46,5%</w:t>
            </w:r>
          </w:p>
        </w:tc>
        <w:tc>
          <w:tcPr>
            <w:tcW w:w="1320" w:type="dxa"/>
            <w:tcBorders>
              <w:top w:val="nil"/>
              <w:left w:val="single" w:sz="4" w:space="0" w:color="auto"/>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8</w:t>
            </w:r>
          </w:p>
        </w:tc>
        <w:tc>
          <w:tcPr>
            <w:tcW w:w="136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18,6%</w:t>
            </w:r>
          </w:p>
        </w:tc>
      </w:tr>
      <w:tr w:rsidR="00CB669B" w:rsidRPr="00CB669B" w:rsidTr="00CB669B">
        <w:trPr>
          <w:trHeight w:val="300"/>
        </w:trPr>
        <w:tc>
          <w:tcPr>
            <w:tcW w:w="4640" w:type="dxa"/>
            <w:tcBorders>
              <w:top w:val="nil"/>
              <w:left w:val="nil"/>
              <w:bottom w:val="nil"/>
              <w:right w:val="nil"/>
            </w:tcBorders>
            <w:shd w:val="clear" w:color="000000" w:fill="FFFFFF"/>
            <w:vAlign w:val="bottom"/>
            <w:hideMark/>
          </w:tcPr>
          <w:p w:rsidR="00CB669B" w:rsidRPr="00CB669B" w:rsidRDefault="00CB669B" w:rsidP="00CB669B">
            <w:pPr>
              <w:spacing w:after="0" w:line="240" w:lineRule="auto"/>
              <w:ind w:firstLineChars="100" w:firstLine="180"/>
              <w:jc w:val="left"/>
              <w:rPr>
                <w:rFonts w:ascii="Calibri" w:hAnsi="Calibri"/>
                <w:i/>
                <w:iCs/>
                <w:color w:val="000000"/>
                <w:sz w:val="18"/>
                <w:szCs w:val="18"/>
                <w:lang w:eastAsia="pt-BR"/>
              </w:rPr>
            </w:pPr>
            <w:r w:rsidRPr="00CB669B">
              <w:rPr>
                <w:rFonts w:ascii="Calibri" w:hAnsi="Calibri"/>
                <w:i/>
                <w:iCs/>
                <w:color w:val="000000"/>
                <w:sz w:val="18"/>
                <w:szCs w:val="18"/>
                <w:lang w:eastAsia="pt-BR"/>
              </w:rPr>
              <w:t>Média desta participação no portfólio</w:t>
            </w:r>
          </w:p>
        </w:tc>
        <w:tc>
          <w:tcPr>
            <w:tcW w:w="108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 </w:t>
            </w:r>
          </w:p>
        </w:tc>
        <w:tc>
          <w:tcPr>
            <w:tcW w:w="134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49,0%</w:t>
            </w:r>
          </w:p>
        </w:tc>
        <w:tc>
          <w:tcPr>
            <w:tcW w:w="1320" w:type="dxa"/>
            <w:tcBorders>
              <w:top w:val="nil"/>
              <w:left w:val="single" w:sz="4" w:space="0" w:color="auto"/>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16,4%</w:t>
            </w:r>
          </w:p>
        </w:tc>
      </w:tr>
      <w:tr w:rsidR="00CB669B" w:rsidRPr="00CB669B" w:rsidTr="00CB669B">
        <w:trPr>
          <w:trHeight w:val="300"/>
        </w:trPr>
        <w:tc>
          <w:tcPr>
            <w:tcW w:w="4640" w:type="dxa"/>
            <w:tcBorders>
              <w:top w:val="nil"/>
              <w:left w:val="nil"/>
              <w:bottom w:val="nil"/>
              <w:right w:val="nil"/>
            </w:tcBorders>
            <w:shd w:val="clear" w:color="000000" w:fill="FFFFFF"/>
            <w:vAlign w:val="bottom"/>
            <w:hideMark/>
          </w:tcPr>
          <w:p w:rsidR="00CB669B" w:rsidRPr="00CB669B" w:rsidRDefault="00CB669B" w:rsidP="00CB669B">
            <w:pPr>
              <w:spacing w:after="0" w:line="240" w:lineRule="auto"/>
              <w:ind w:firstLineChars="100" w:firstLine="180"/>
              <w:jc w:val="left"/>
              <w:rPr>
                <w:rFonts w:ascii="Calibri" w:hAnsi="Calibri"/>
                <w:i/>
                <w:iCs/>
                <w:color w:val="000000"/>
                <w:sz w:val="18"/>
                <w:szCs w:val="18"/>
                <w:lang w:eastAsia="pt-BR"/>
              </w:rPr>
            </w:pPr>
            <w:r w:rsidRPr="00CB669B">
              <w:rPr>
                <w:rFonts w:ascii="Calibri" w:hAnsi="Calibri"/>
                <w:i/>
                <w:iCs/>
                <w:color w:val="000000"/>
                <w:sz w:val="18"/>
                <w:szCs w:val="18"/>
                <w:lang w:eastAsia="pt-BR"/>
              </w:rPr>
              <w:t>Mediana desta participação no portfólio</w:t>
            </w:r>
          </w:p>
        </w:tc>
        <w:tc>
          <w:tcPr>
            <w:tcW w:w="108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 </w:t>
            </w:r>
          </w:p>
        </w:tc>
        <w:tc>
          <w:tcPr>
            <w:tcW w:w="134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46,6%</w:t>
            </w:r>
          </w:p>
        </w:tc>
        <w:tc>
          <w:tcPr>
            <w:tcW w:w="1320" w:type="dxa"/>
            <w:tcBorders>
              <w:top w:val="nil"/>
              <w:left w:val="single" w:sz="4" w:space="0" w:color="auto"/>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0,0%</w:t>
            </w:r>
          </w:p>
        </w:tc>
      </w:tr>
      <w:tr w:rsidR="00CB669B" w:rsidRPr="00CB669B" w:rsidTr="00CB669B">
        <w:trPr>
          <w:trHeight w:val="495"/>
        </w:trPr>
        <w:tc>
          <w:tcPr>
            <w:tcW w:w="4640" w:type="dxa"/>
            <w:tcBorders>
              <w:top w:val="nil"/>
              <w:left w:val="nil"/>
              <w:bottom w:val="nil"/>
              <w:right w:val="nil"/>
            </w:tcBorders>
            <w:shd w:val="clear" w:color="000000" w:fill="FFFFFF"/>
            <w:vAlign w:val="bottom"/>
            <w:hideMark/>
          </w:tcPr>
          <w:p w:rsidR="00CB669B" w:rsidRPr="00CB669B" w:rsidRDefault="00CB669B" w:rsidP="00CB669B">
            <w:pPr>
              <w:spacing w:after="0" w:line="240" w:lineRule="auto"/>
              <w:jc w:val="left"/>
              <w:rPr>
                <w:rFonts w:ascii="Calibri" w:hAnsi="Calibri"/>
                <w:color w:val="000000"/>
                <w:sz w:val="18"/>
                <w:szCs w:val="18"/>
                <w:lang w:eastAsia="pt-BR"/>
              </w:rPr>
            </w:pPr>
            <w:r w:rsidRPr="00CB669B">
              <w:rPr>
                <w:rFonts w:ascii="Calibri" w:hAnsi="Calibri"/>
                <w:color w:val="000000"/>
                <w:sz w:val="18"/>
                <w:szCs w:val="18"/>
                <w:lang w:eastAsia="pt-BR"/>
              </w:rPr>
              <w:t>Quantidade onde a ação da empresa é a maior do portfólio</w:t>
            </w:r>
          </w:p>
        </w:tc>
        <w:tc>
          <w:tcPr>
            <w:tcW w:w="108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12</w:t>
            </w:r>
          </w:p>
        </w:tc>
        <w:tc>
          <w:tcPr>
            <w:tcW w:w="134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27,9%</w:t>
            </w:r>
          </w:p>
        </w:tc>
        <w:tc>
          <w:tcPr>
            <w:tcW w:w="1320" w:type="dxa"/>
            <w:tcBorders>
              <w:top w:val="nil"/>
              <w:left w:val="single" w:sz="4" w:space="0" w:color="auto"/>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3</w:t>
            </w:r>
          </w:p>
        </w:tc>
        <w:tc>
          <w:tcPr>
            <w:tcW w:w="136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7,0%</w:t>
            </w:r>
          </w:p>
        </w:tc>
      </w:tr>
      <w:tr w:rsidR="00CB669B" w:rsidRPr="00CB669B" w:rsidTr="00B864CF">
        <w:trPr>
          <w:trHeight w:val="115"/>
        </w:trPr>
        <w:tc>
          <w:tcPr>
            <w:tcW w:w="4640" w:type="dxa"/>
            <w:tcBorders>
              <w:top w:val="nil"/>
              <w:left w:val="nil"/>
              <w:bottom w:val="nil"/>
              <w:right w:val="nil"/>
            </w:tcBorders>
            <w:shd w:val="clear" w:color="000000" w:fill="FFFFFF"/>
            <w:vAlign w:val="bottom"/>
            <w:hideMark/>
          </w:tcPr>
          <w:p w:rsidR="00CB669B" w:rsidRPr="00CB669B" w:rsidRDefault="00CB669B" w:rsidP="00CB669B">
            <w:pPr>
              <w:spacing w:after="0" w:line="240" w:lineRule="auto"/>
              <w:ind w:firstLineChars="100" w:firstLine="180"/>
              <w:jc w:val="left"/>
              <w:rPr>
                <w:rFonts w:ascii="Calibri" w:hAnsi="Calibri"/>
                <w:i/>
                <w:iCs/>
                <w:color w:val="000000"/>
                <w:sz w:val="18"/>
                <w:szCs w:val="18"/>
                <w:lang w:eastAsia="pt-BR"/>
              </w:rPr>
            </w:pPr>
            <w:r w:rsidRPr="00CB669B">
              <w:rPr>
                <w:rFonts w:ascii="Calibri" w:hAnsi="Calibri"/>
                <w:i/>
                <w:iCs/>
                <w:color w:val="000000"/>
                <w:sz w:val="18"/>
                <w:szCs w:val="18"/>
                <w:lang w:eastAsia="pt-BR"/>
              </w:rPr>
              <w:t> </w:t>
            </w:r>
          </w:p>
        </w:tc>
        <w:tc>
          <w:tcPr>
            <w:tcW w:w="108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 </w:t>
            </w:r>
          </w:p>
        </w:tc>
        <w:tc>
          <w:tcPr>
            <w:tcW w:w="134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 </w:t>
            </w:r>
          </w:p>
        </w:tc>
        <w:tc>
          <w:tcPr>
            <w:tcW w:w="1320" w:type="dxa"/>
            <w:tcBorders>
              <w:top w:val="nil"/>
              <w:left w:val="single" w:sz="4" w:space="0" w:color="auto"/>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 </w:t>
            </w:r>
          </w:p>
        </w:tc>
      </w:tr>
      <w:tr w:rsidR="00CB669B" w:rsidRPr="00CB669B" w:rsidTr="00CB669B">
        <w:trPr>
          <w:trHeight w:val="495"/>
        </w:trPr>
        <w:tc>
          <w:tcPr>
            <w:tcW w:w="4640" w:type="dxa"/>
            <w:tcBorders>
              <w:top w:val="nil"/>
              <w:left w:val="nil"/>
              <w:bottom w:val="nil"/>
              <w:right w:val="nil"/>
            </w:tcBorders>
            <w:shd w:val="clear" w:color="000000" w:fill="FFFFFF"/>
            <w:vAlign w:val="bottom"/>
            <w:hideMark/>
          </w:tcPr>
          <w:p w:rsidR="00CB669B" w:rsidRPr="00CB669B" w:rsidRDefault="00CB669B" w:rsidP="00CB669B">
            <w:pPr>
              <w:spacing w:after="0" w:line="240" w:lineRule="auto"/>
              <w:jc w:val="left"/>
              <w:rPr>
                <w:rFonts w:ascii="Calibri" w:hAnsi="Calibri"/>
                <w:color w:val="000000"/>
                <w:sz w:val="18"/>
                <w:szCs w:val="18"/>
                <w:lang w:eastAsia="pt-BR"/>
              </w:rPr>
            </w:pPr>
            <w:r w:rsidRPr="00CB669B">
              <w:rPr>
                <w:rFonts w:ascii="Calibri" w:hAnsi="Calibri"/>
                <w:color w:val="000000"/>
                <w:sz w:val="18"/>
                <w:szCs w:val="18"/>
                <w:lang w:eastAsia="pt-BR"/>
              </w:rPr>
              <w:t>Participação média no portfólio dos investidores que não trabalham na empresa</w:t>
            </w:r>
          </w:p>
        </w:tc>
        <w:tc>
          <w:tcPr>
            <w:tcW w:w="108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 </w:t>
            </w:r>
          </w:p>
        </w:tc>
        <w:tc>
          <w:tcPr>
            <w:tcW w:w="134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1,76%</w:t>
            </w:r>
          </w:p>
        </w:tc>
        <w:tc>
          <w:tcPr>
            <w:tcW w:w="1320" w:type="dxa"/>
            <w:tcBorders>
              <w:top w:val="nil"/>
              <w:left w:val="single" w:sz="4" w:space="0" w:color="auto"/>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0,40%</w:t>
            </w:r>
          </w:p>
        </w:tc>
      </w:tr>
      <w:tr w:rsidR="00CB669B" w:rsidRPr="00CB669B" w:rsidTr="00CB669B">
        <w:trPr>
          <w:trHeight w:val="300"/>
        </w:trPr>
        <w:tc>
          <w:tcPr>
            <w:tcW w:w="4640" w:type="dxa"/>
            <w:tcBorders>
              <w:top w:val="nil"/>
              <w:left w:val="nil"/>
              <w:bottom w:val="nil"/>
              <w:right w:val="nil"/>
            </w:tcBorders>
            <w:shd w:val="clear" w:color="000000" w:fill="FFFFFF"/>
            <w:vAlign w:val="bottom"/>
            <w:hideMark/>
          </w:tcPr>
          <w:p w:rsidR="00CB669B" w:rsidRPr="00CB669B" w:rsidRDefault="00CB669B" w:rsidP="00CB669B">
            <w:pPr>
              <w:spacing w:after="0" w:line="240" w:lineRule="auto"/>
              <w:ind w:firstLineChars="100" w:firstLine="180"/>
              <w:jc w:val="left"/>
              <w:rPr>
                <w:rFonts w:ascii="Calibri" w:hAnsi="Calibri"/>
                <w:i/>
                <w:iCs/>
                <w:color w:val="000000"/>
                <w:sz w:val="18"/>
                <w:szCs w:val="18"/>
                <w:lang w:eastAsia="pt-BR"/>
              </w:rPr>
            </w:pPr>
            <w:r w:rsidRPr="00CB669B">
              <w:rPr>
                <w:rFonts w:ascii="Calibri" w:hAnsi="Calibri"/>
                <w:i/>
                <w:iCs/>
                <w:color w:val="000000"/>
                <w:sz w:val="18"/>
                <w:szCs w:val="18"/>
                <w:lang w:eastAsia="pt-BR"/>
              </w:rPr>
              <w:t>Mediana</w:t>
            </w:r>
          </w:p>
        </w:tc>
        <w:tc>
          <w:tcPr>
            <w:tcW w:w="108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 </w:t>
            </w:r>
          </w:p>
        </w:tc>
        <w:tc>
          <w:tcPr>
            <w:tcW w:w="134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0,11%</w:t>
            </w:r>
          </w:p>
        </w:tc>
        <w:tc>
          <w:tcPr>
            <w:tcW w:w="1320" w:type="dxa"/>
            <w:tcBorders>
              <w:top w:val="nil"/>
              <w:left w:val="single" w:sz="4" w:space="0" w:color="auto"/>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0,00%</w:t>
            </w:r>
          </w:p>
        </w:tc>
      </w:tr>
      <w:tr w:rsidR="00CB669B" w:rsidRPr="00CB669B" w:rsidTr="00B864CF">
        <w:trPr>
          <w:trHeight w:val="159"/>
        </w:trPr>
        <w:tc>
          <w:tcPr>
            <w:tcW w:w="4640" w:type="dxa"/>
            <w:tcBorders>
              <w:top w:val="nil"/>
              <w:left w:val="nil"/>
              <w:bottom w:val="nil"/>
              <w:right w:val="nil"/>
            </w:tcBorders>
            <w:shd w:val="clear" w:color="000000" w:fill="FFFFFF"/>
            <w:vAlign w:val="bottom"/>
            <w:hideMark/>
          </w:tcPr>
          <w:p w:rsidR="00CB669B" w:rsidRPr="00CB669B" w:rsidRDefault="00CB669B" w:rsidP="00CB669B">
            <w:pPr>
              <w:spacing w:after="0" w:line="240" w:lineRule="auto"/>
              <w:ind w:firstLineChars="100" w:firstLine="180"/>
              <w:jc w:val="left"/>
              <w:rPr>
                <w:rFonts w:ascii="Calibri" w:hAnsi="Calibri"/>
                <w:i/>
                <w:iCs/>
                <w:color w:val="000000"/>
                <w:sz w:val="18"/>
                <w:szCs w:val="18"/>
                <w:lang w:eastAsia="pt-BR"/>
              </w:rPr>
            </w:pPr>
            <w:r w:rsidRPr="00CB669B">
              <w:rPr>
                <w:rFonts w:ascii="Calibri" w:hAnsi="Calibri"/>
                <w:i/>
                <w:iCs/>
                <w:color w:val="000000"/>
                <w:sz w:val="18"/>
                <w:szCs w:val="18"/>
                <w:lang w:eastAsia="pt-BR"/>
              </w:rPr>
              <w:t> </w:t>
            </w:r>
          </w:p>
        </w:tc>
        <w:tc>
          <w:tcPr>
            <w:tcW w:w="108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 </w:t>
            </w:r>
          </w:p>
        </w:tc>
        <w:tc>
          <w:tcPr>
            <w:tcW w:w="134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 </w:t>
            </w:r>
          </w:p>
        </w:tc>
        <w:tc>
          <w:tcPr>
            <w:tcW w:w="1320" w:type="dxa"/>
            <w:tcBorders>
              <w:top w:val="nil"/>
              <w:left w:val="single" w:sz="4" w:space="0" w:color="auto"/>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 </w:t>
            </w:r>
          </w:p>
        </w:tc>
      </w:tr>
      <w:tr w:rsidR="00CB669B" w:rsidRPr="00CB669B" w:rsidTr="00CB669B">
        <w:trPr>
          <w:trHeight w:val="300"/>
        </w:trPr>
        <w:tc>
          <w:tcPr>
            <w:tcW w:w="4640" w:type="dxa"/>
            <w:tcBorders>
              <w:top w:val="nil"/>
              <w:left w:val="nil"/>
              <w:bottom w:val="nil"/>
              <w:right w:val="nil"/>
            </w:tcBorders>
            <w:shd w:val="clear" w:color="000000" w:fill="FFFFFF"/>
            <w:vAlign w:val="bottom"/>
            <w:hideMark/>
          </w:tcPr>
          <w:p w:rsidR="00CB669B" w:rsidRPr="00CB669B" w:rsidRDefault="00CB669B" w:rsidP="00CB669B">
            <w:pPr>
              <w:spacing w:after="0" w:line="240" w:lineRule="auto"/>
              <w:jc w:val="left"/>
              <w:rPr>
                <w:rFonts w:ascii="Calibri" w:hAnsi="Calibri"/>
                <w:color w:val="000000"/>
                <w:sz w:val="18"/>
                <w:szCs w:val="18"/>
                <w:lang w:eastAsia="pt-BR"/>
              </w:rPr>
            </w:pPr>
            <w:r w:rsidRPr="00CB669B">
              <w:rPr>
                <w:rFonts w:ascii="Calibri" w:hAnsi="Calibri"/>
                <w:color w:val="000000"/>
                <w:sz w:val="18"/>
                <w:szCs w:val="18"/>
                <w:lang w:eastAsia="pt-BR"/>
              </w:rPr>
              <w:t>Média da diferença</w:t>
            </w:r>
          </w:p>
        </w:tc>
        <w:tc>
          <w:tcPr>
            <w:tcW w:w="108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 </w:t>
            </w:r>
          </w:p>
        </w:tc>
        <w:tc>
          <w:tcPr>
            <w:tcW w:w="134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46,64%</w:t>
            </w:r>
          </w:p>
        </w:tc>
        <w:tc>
          <w:tcPr>
            <w:tcW w:w="1320" w:type="dxa"/>
            <w:tcBorders>
              <w:top w:val="nil"/>
              <w:left w:val="single" w:sz="4" w:space="0" w:color="auto"/>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15,85%</w:t>
            </w:r>
          </w:p>
        </w:tc>
      </w:tr>
      <w:tr w:rsidR="00CB669B" w:rsidRPr="00CB669B" w:rsidTr="00CB669B">
        <w:trPr>
          <w:trHeight w:val="315"/>
        </w:trPr>
        <w:tc>
          <w:tcPr>
            <w:tcW w:w="4640" w:type="dxa"/>
            <w:tcBorders>
              <w:top w:val="nil"/>
              <w:left w:val="nil"/>
              <w:bottom w:val="double" w:sz="6" w:space="0" w:color="auto"/>
              <w:right w:val="nil"/>
            </w:tcBorders>
            <w:shd w:val="clear" w:color="000000" w:fill="FFFFFF"/>
            <w:vAlign w:val="bottom"/>
            <w:hideMark/>
          </w:tcPr>
          <w:p w:rsidR="00CB669B" w:rsidRPr="00CB669B" w:rsidRDefault="00CB669B" w:rsidP="00CB669B">
            <w:pPr>
              <w:spacing w:after="0" w:line="240" w:lineRule="auto"/>
              <w:ind w:firstLineChars="100" w:firstLine="180"/>
              <w:jc w:val="left"/>
              <w:rPr>
                <w:rFonts w:ascii="Calibri" w:hAnsi="Calibri"/>
                <w:i/>
                <w:iCs/>
                <w:color w:val="000000"/>
                <w:sz w:val="18"/>
                <w:szCs w:val="18"/>
                <w:lang w:eastAsia="pt-BR"/>
              </w:rPr>
            </w:pPr>
            <w:r w:rsidRPr="00CB669B">
              <w:rPr>
                <w:rFonts w:ascii="Calibri" w:hAnsi="Calibri"/>
                <w:i/>
                <w:iCs/>
                <w:color w:val="000000"/>
                <w:sz w:val="18"/>
                <w:szCs w:val="18"/>
                <w:lang w:eastAsia="pt-BR"/>
              </w:rPr>
              <w:t>Mediana da diferença</w:t>
            </w:r>
          </w:p>
        </w:tc>
        <w:tc>
          <w:tcPr>
            <w:tcW w:w="1080" w:type="dxa"/>
            <w:tcBorders>
              <w:top w:val="nil"/>
              <w:left w:val="nil"/>
              <w:bottom w:val="double" w:sz="6" w:space="0" w:color="auto"/>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 </w:t>
            </w:r>
          </w:p>
        </w:tc>
        <w:tc>
          <w:tcPr>
            <w:tcW w:w="1340" w:type="dxa"/>
            <w:tcBorders>
              <w:top w:val="nil"/>
              <w:left w:val="nil"/>
              <w:bottom w:val="double" w:sz="6" w:space="0" w:color="auto"/>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45,85%</w:t>
            </w:r>
          </w:p>
        </w:tc>
        <w:tc>
          <w:tcPr>
            <w:tcW w:w="1320" w:type="dxa"/>
            <w:tcBorders>
              <w:top w:val="nil"/>
              <w:left w:val="single" w:sz="4" w:space="0" w:color="auto"/>
              <w:bottom w:val="double" w:sz="6" w:space="0" w:color="auto"/>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 </w:t>
            </w:r>
          </w:p>
        </w:tc>
        <w:tc>
          <w:tcPr>
            <w:tcW w:w="1360" w:type="dxa"/>
            <w:tcBorders>
              <w:top w:val="nil"/>
              <w:left w:val="nil"/>
              <w:bottom w:val="double" w:sz="6" w:space="0" w:color="auto"/>
              <w:right w:val="nil"/>
            </w:tcBorders>
            <w:shd w:val="clear" w:color="000000" w:fill="FFFFFF"/>
            <w:noWrap/>
            <w:vAlign w:val="bottom"/>
            <w:hideMark/>
          </w:tcPr>
          <w:p w:rsidR="00CB669B" w:rsidRPr="00CB669B" w:rsidRDefault="00CB669B" w:rsidP="00CB669B">
            <w:pPr>
              <w:spacing w:after="0" w:line="240" w:lineRule="auto"/>
              <w:jc w:val="center"/>
              <w:rPr>
                <w:rFonts w:ascii="Calibri" w:hAnsi="Calibri"/>
                <w:color w:val="000000"/>
                <w:sz w:val="18"/>
                <w:szCs w:val="18"/>
                <w:lang w:eastAsia="pt-BR"/>
              </w:rPr>
            </w:pPr>
            <w:r w:rsidRPr="00CB669B">
              <w:rPr>
                <w:rFonts w:ascii="Calibri" w:hAnsi="Calibri"/>
                <w:color w:val="000000"/>
                <w:sz w:val="18"/>
                <w:szCs w:val="18"/>
                <w:lang w:eastAsia="pt-BR"/>
              </w:rPr>
              <w:t>0,00%</w:t>
            </w:r>
          </w:p>
        </w:tc>
      </w:tr>
    </w:tbl>
    <w:p w:rsidR="00393237" w:rsidRPr="0047042E" w:rsidRDefault="00393237" w:rsidP="00393237">
      <w:pPr>
        <w:rPr>
          <w:rFonts w:ascii="Arial" w:hAnsi="Arial" w:cs="Arial"/>
          <w:sz w:val="16"/>
          <w:szCs w:val="18"/>
        </w:rPr>
      </w:pPr>
      <w:r w:rsidRPr="0047042E">
        <w:rPr>
          <w:rFonts w:ascii="Arial" w:hAnsi="Arial" w:cs="Arial"/>
          <w:sz w:val="16"/>
          <w:szCs w:val="18"/>
        </w:rPr>
        <w:t xml:space="preserve">Fonte: Dados da amostra </w:t>
      </w:r>
    </w:p>
    <w:p w:rsidR="00DF5F51" w:rsidRDefault="00DF5F51" w:rsidP="00DB67D1">
      <w:pPr>
        <w:ind w:firstLine="709"/>
        <w:rPr>
          <w:rFonts w:ascii="Arial" w:hAnsi="Arial" w:cs="Arial"/>
          <w:sz w:val="24"/>
        </w:rPr>
      </w:pPr>
      <w:r>
        <w:rPr>
          <w:rFonts w:ascii="Arial" w:hAnsi="Arial" w:cs="Arial"/>
          <w:sz w:val="24"/>
        </w:rPr>
        <w:t xml:space="preserve">No intuído de buscar uma maior certeza da participação das empresas no portfólio da amostra, realizamos outra analise considerando apenas aqueles investidores que trabalham em alguma empresa de capital aberto e </w:t>
      </w:r>
      <w:r w:rsidR="00585CBE">
        <w:rPr>
          <w:rFonts w:ascii="Arial" w:hAnsi="Arial" w:cs="Arial"/>
          <w:sz w:val="24"/>
        </w:rPr>
        <w:t>esta não possua</w:t>
      </w:r>
      <w:r>
        <w:rPr>
          <w:rFonts w:ascii="Arial" w:hAnsi="Arial" w:cs="Arial"/>
          <w:sz w:val="24"/>
        </w:rPr>
        <w:t xml:space="preserve"> plano de remuneração em ações. Como descrito anteriormente, tal remuneração pode tornar obrigatório tais ações no portfólio do investidor</w:t>
      </w:r>
      <w:r w:rsidR="00585CBE">
        <w:rPr>
          <w:rFonts w:ascii="Arial" w:hAnsi="Arial" w:cs="Arial"/>
          <w:sz w:val="24"/>
        </w:rPr>
        <w:t xml:space="preserve"> por um período mínimo de tempo</w:t>
      </w:r>
      <w:r>
        <w:rPr>
          <w:rFonts w:ascii="Arial" w:hAnsi="Arial" w:cs="Arial"/>
          <w:sz w:val="24"/>
        </w:rPr>
        <w:t>. Com esta premissa, a m</w:t>
      </w:r>
      <w:r w:rsidR="00585CBE">
        <w:rPr>
          <w:rFonts w:ascii="Arial" w:hAnsi="Arial" w:cs="Arial"/>
          <w:sz w:val="24"/>
        </w:rPr>
        <w:t>édia de participação d</w:t>
      </w:r>
      <w:r>
        <w:rPr>
          <w:rFonts w:ascii="Arial" w:hAnsi="Arial" w:cs="Arial"/>
          <w:sz w:val="24"/>
        </w:rPr>
        <w:t xml:space="preserve">as empresas no portfólio dos investidores </w:t>
      </w:r>
      <w:r w:rsidR="00585CBE">
        <w:rPr>
          <w:rFonts w:ascii="Arial" w:hAnsi="Arial" w:cs="Arial"/>
          <w:sz w:val="24"/>
        </w:rPr>
        <w:t xml:space="preserve">que trabalham em empresa de capital aberto </w:t>
      </w:r>
      <w:r>
        <w:rPr>
          <w:rFonts w:ascii="Arial" w:hAnsi="Arial" w:cs="Arial"/>
          <w:sz w:val="24"/>
        </w:rPr>
        <w:t>fica em 34,9% com uma mediana de 20,3%. Já para os investidores que não trabalham em empresa</w:t>
      </w:r>
      <w:r w:rsidR="00585CBE">
        <w:rPr>
          <w:rFonts w:ascii="Arial" w:hAnsi="Arial" w:cs="Arial"/>
          <w:sz w:val="24"/>
        </w:rPr>
        <w:t>s</w:t>
      </w:r>
      <w:r>
        <w:rPr>
          <w:rFonts w:ascii="Arial" w:hAnsi="Arial" w:cs="Arial"/>
          <w:sz w:val="24"/>
        </w:rPr>
        <w:t xml:space="preserve"> de capital aberto, f</w:t>
      </w:r>
      <w:r w:rsidR="00585CBE">
        <w:rPr>
          <w:rFonts w:ascii="Arial" w:hAnsi="Arial" w:cs="Arial"/>
          <w:sz w:val="24"/>
        </w:rPr>
        <w:t>oram</w:t>
      </w:r>
      <w:r>
        <w:rPr>
          <w:rFonts w:ascii="Arial" w:hAnsi="Arial" w:cs="Arial"/>
          <w:sz w:val="24"/>
        </w:rPr>
        <w:t xml:space="preserve"> encontrados um percentual médio de 1,3</w:t>
      </w:r>
      <w:r w:rsidR="00585CBE">
        <w:rPr>
          <w:rFonts w:ascii="Arial" w:hAnsi="Arial" w:cs="Arial"/>
          <w:sz w:val="24"/>
        </w:rPr>
        <w:t xml:space="preserve">% e </w:t>
      </w:r>
      <w:r>
        <w:rPr>
          <w:rFonts w:ascii="Arial" w:hAnsi="Arial" w:cs="Arial"/>
          <w:sz w:val="24"/>
        </w:rPr>
        <w:t xml:space="preserve">uma mediana de 0%, </w:t>
      </w:r>
      <w:r w:rsidR="00585CBE">
        <w:rPr>
          <w:rFonts w:ascii="Arial" w:hAnsi="Arial" w:cs="Arial"/>
          <w:sz w:val="24"/>
        </w:rPr>
        <w:t>resultando em</w:t>
      </w:r>
      <w:r>
        <w:rPr>
          <w:rFonts w:ascii="Arial" w:hAnsi="Arial" w:cs="Arial"/>
          <w:sz w:val="24"/>
        </w:rPr>
        <w:t xml:space="preserve"> uma diferença média de 33,5% a mais em ações da empresa para a amostra dos investidores que detêm ações da empresa onde trabalham.</w:t>
      </w:r>
    </w:p>
    <w:tbl>
      <w:tblPr>
        <w:tblW w:w="9060" w:type="dxa"/>
        <w:jc w:val="center"/>
        <w:tblInd w:w="53" w:type="dxa"/>
        <w:tblCellMar>
          <w:left w:w="70" w:type="dxa"/>
          <w:right w:w="70" w:type="dxa"/>
        </w:tblCellMar>
        <w:tblLook w:val="04A0" w:firstRow="1" w:lastRow="0" w:firstColumn="1" w:lastColumn="0" w:noHBand="0" w:noVBand="1"/>
      </w:tblPr>
      <w:tblGrid>
        <w:gridCol w:w="6640"/>
        <w:gridCol w:w="1080"/>
        <w:gridCol w:w="1340"/>
      </w:tblGrid>
      <w:tr w:rsidR="00DE1FC0" w:rsidRPr="00DE1FC0" w:rsidTr="00DE1FC0">
        <w:trPr>
          <w:trHeight w:val="315"/>
          <w:jc w:val="center"/>
        </w:trPr>
        <w:tc>
          <w:tcPr>
            <w:tcW w:w="6640" w:type="dxa"/>
            <w:tcBorders>
              <w:top w:val="nil"/>
              <w:left w:val="nil"/>
              <w:bottom w:val="double" w:sz="6" w:space="0" w:color="auto"/>
              <w:right w:val="nil"/>
            </w:tcBorders>
            <w:shd w:val="clear" w:color="000000" w:fill="FFFFFF"/>
            <w:noWrap/>
            <w:vAlign w:val="bottom"/>
            <w:hideMark/>
          </w:tcPr>
          <w:p w:rsidR="00DE1FC0" w:rsidRPr="00DE1FC0" w:rsidRDefault="00DE1FC0" w:rsidP="003D3DF7">
            <w:pPr>
              <w:spacing w:after="0" w:line="240" w:lineRule="auto"/>
              <w:jc w:val="left"/>
              <w:rPr>
                <w:rFonts w:ascii="Calibri" w:hAnsi="Calibri"/>
                <w:b/>
                <w:bCs/>
                <w:color w:val="000000"/>
                <w:sz w:val="18"/>
                <w:szCs w:val="18"/>
                <w:lang w:eastAsia="pt-BR"/>
              </w:rPr>
            </w:pPr>
            <w:r w:rsidRPr="00DE1FC0">
              <w:rPr>
                <w:rFonts w:ascii="Calibri" w:hAnsi="Calibri"/>
                <w:b/>
                <w:bCs/>
                <w:color w:val="000000"/>
                <w:sz w:val="18"/>
                <w:szCs w:val="18"/>
                <w:lang w:eastAsia="pt-BR"/>
              </w:rPr>
              <w:t xml:space="preserve">Tabela </w:t>
            </w:r>
            <w:r w:rsidR="003D3DF7">
              <w:rPr>
                <w:rFonts w:ascii="Calibri" w:hAnsi="Calibri"/>
                <w:b/>
                <w:bCs/>
                <w:color w:val="000000"/>
                <w:sz w:val="18"/>
                <w:szCs w:val="18"/>
                <w:lang w:eastAsia="pt-BR"/>
              </w:rPr>
              <w:t>4</w:t>
            </w:r>
            <w:r w:rsidRPr="00DE1FC0">
              <w:rPr>
                <w:rFonts w:ascii="Calibri" w:hAnsi="Calibri"/>
                <w:b/>
                <w:bCs/>
                <w:color w:val="000000"/>
                <w:sz w:val="18"/>
                <w:szCs w:val="18"/>
                <w:lang w:eastAsia="pt-BR"/>
              </w:rPr>
              <w:t>: Dados sub amostra de empresas que não pagam em ações</w:t>
            </w:r>
          </w:p>
        </w:tc>
        <w:tc>
          <w:tcPr>
            <w:tcW w:w="1080" w:type="dxa"/>
            <w:tcBorders>
              <w:top w:val="nil"/>
              <w:left w:val="nil"/>
              <w:bottom w:val="double" w:sz="6" w:space="0" w:color="auto"/>
              <w:right w:val="nil"/>
            </w:tcBorders>
            <w:shd w:val="clear" w:color="000000" w:fill="FFFFFF"/>
            <w:noWrap/>
            <w:vAlign w:val="bottom"/>
            <w:hideMark/>
          </w:tcPr>
          <w:p w:rsidR="00DE1FC0" w:rsidRPr="00DE1FC0" w:rsidRDefault="00DE1FC0" w:rsidP="00DE1FC0">
            <w:pPr>
              <w:spacing w:after="0" w:line="240" w:lineRule="auto"/>
              <w:jc w:val="left"/>
              <w:rPr>
                <w:rFonts w:ascii="Calibri" w:hAnsi="Calibri"/>
                <w:b/>
                <w:bCs/>
                <w:color w:val="000000"/>
                <w:sz w:val="18"/>
                <w:szCs w:val="18"/>
                <w:lang w:eastAsia="pt-BR"/>
              </w:rPr>
            </w:pPr>
            <w:r w:rsidRPr="00DE1FC0">
              <w:rPr>
                <w:rFonts w:ascii="Calibri" w:hAnsi="Calibri"/>
                <w:b/>
                <w:bCs/>
                <w:color w:val="000000"/>
                <w:sz w:val="18"/>
                <w:szCs w:val="18"/>
                <w:lang w:eastAsia="pt-BR"/>
              </w:rPr>
              <w:t> </w:t>
            </w:r>
          </w:p>
        </w:tc>
        <w:tc>
          <w:tcPr>
            <w:tcW w:w="1340" w:type="dxa"/>
            <w:tcBorders>
              <w:top w:val="nil"/>
              <w:left w:val="nil"/>
              <w:bottom w:val="double" w:sz="6" w:space="0" w:color="auto"/>
              <w:right w:val="nil"/>
            </w:tcBorders>
            <w:shd w:val="clear" w:color="000000" w:fill="FFFFFF"/>
            <w:noWrap/>
            <w:vAlign w:val="bottom"/>
            <w:hideMark/>
          </w:tcPr>
          <w:p w:rsidR="00DE1FC0" w:rsidRPr="00DE1FC0" w:rsidRDefault="00DE1FC0" w:rsidP="00DE1FC0">
            <w:pPr>
              <w:spacing w:after="0" w:line="240" w:lineRule="auto"/>
              <w:jc w:val="left"/>
              <w:rPr>
                <w:rFonts w:ascii="Calibri" w:hAnsi="Calibri"/>
                <w:b/>
                <w:bCs/>
                <w:color w:val="000000"/>
                <w:sz w:val="18"/>
                <w:szCs w:val="18"/>
                <w:lang w:eastAsia="pt-BR"/>
              </w:rPr>
            </w:pPr>
            <w:r w:rsidRPr="00DE1FC0">
              <w:rPr>
                <w:rFonts w:ascii="Calibri" w:hAnsi="Calibri"/>
                <w:b/>
                <w:bCs/>
                <w:color w:val="000000"/>
                <w:sz w:val="18"/>
                <w:szCs w:val="18"/>
                <w:lang w:eastAsia="pt-BR"/>
              </w:rPr>
              <w:t> </w:t>
            </w:r>
          </w:p>
        </w:tc>
      </w:tr>
      <w:tr w:rsidR="00DE1FC0" w:rsidRPr="00DE1FC0" w:rsidTr="00DE1FC0">
        <w:trPr>
          <w:trHeight w:val="330"/>
          <w:jc w:val="center"/>
        </w:trPr>
        <w:tc>
          <w:tcPr>
            <w:tcW w:w="6640" w:type="dxa"/>
            <w:tcBorders>
              <w:top w:val="nil"/>
              <w:left w:val="nil"/>
              <w:bottom w:val="double" w:sz="6" w:space="0" w:color="auto"/>
              <w:right w:val="nil"/>
            </w:tcBorders>
            <w:shd w:val="clear" w:color="000000" w:fill="BFBFBF"/>
            <w:noWrap/>
            <w:vAlign w:val="bottom"/>
            <w:hideMark/>
          </w:tcPr>
          <w:p w:rsidR="00DE1FC0" w:rsidRPr="00DE1FC0" w:rsidRDefault="00DE1FC0" w:rsidP="00DE1FC0">
            <w:pPr>
              <w:spacing w:after="0" w:line="240" w:lineRule="auto"/>
              <w:jc w:val="left"/>
              <w:rPr>
                <w:rFonts w:ascii="Calibri" w:hAnsi="Calibri"/>
                <w:color w:val="000000"/>
                <w:sz w:val="18"/>
                <w:szCs w:val="18"/>
                <w:lang w:eastAsia="pt-BR"/>
              </w:rPr>
            </w:pPr>
            <w:r w:rsidRPr="00DE1FC0">
              <w:rPr>
                <w:rFonts w:ascii="Calibri" w:hAnsi="Calibri"/>
                <w:color w:val="000000"/>
                <w:sz w:val="18"/>
                <w:szCs w:val="18"/>
                <w:lang w:eastAsia="pt-BR"/>
              </w:rPr>
              <w:t> </w:t>
            </w:r>
          </w:p>
        </w:tc>
        <w:tc>
          <w:tcPr>
            <w:tcW w:w="1080" w:type="dxa"/>
            <w:tcBorders>
              <w:top w:val="nil"/>
              <w:left w:val="nil"/>
              <w:bottom w:val="double" w:sz="6" w:space="0" w:color="auto"/>
              <w:right w:val="nil"/>
            </w:tcBorders>
            <w:shd w:val="clear" w:color="000000" w:fill="BFBFB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Quantidade</w:t>
            </w:r>
          </w:p>
        </w:tc>
        <w:tc>
          <w:tcPr>
            <w:tcW w:w="1340" w:type="dxa"/>
            <w:tcBorders>
              <w:top w:val="nil"/>
              <w:left w:val="nil"/>
              <w:bottom w:val="double" w:sz="6" w:space="0" w:color="auto"/>
              <w:right w:val="nil"/>
            </w:tcBorders>
            <w:shd w:val="clear" w:color="000000" w:fill="BFBFB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Percentual</w:t>
            </w:r>
          </w:p>
        </w:tc>
      </w:tr>
      <w:tr w:rsidR="00DE1FC0" w:rsidRPr="00DE1FC0" w:rsidTr="00DE1FC0">
        <w:trPr>
          <w:trHeight w:val="315"/>
          <w:jc w:val="center"/>
        </w:trPr>
        <w:tc>
          <w:tcPr>
            <w:tcW w:w="6640" w:type="dxa"/>
            <w:tcBorders>
              <w:top w:val="nil"/>
              <w:left w:val="nil"/>
              <w:bottom w:val="nil"/>
              <w:right w:val="nil"/>
            </w:tcBorders>
            <w:shd w:val="clear" w:color="000000" w:fill="FFFFFF"/>
            <w:vAlign w:val="bottom"/>
            <w:hideMark/>
          </w:tcPr>
          <w:p w:rsidR="00DE1FC0" w:rsidRPr="00DE1FC0" w:rsidRDefault="00DE1FC0" w:rsidP="00DE1FC0">
            <w:pPr>
              <w:spacing w:after="0" w:line="240" w:lineRule="auto"/>
              <w:jc w:val="left"/>
              <w:rPr>
                <w:rFonts w:ascii="Calibri" w:hAnsi="Calibri"/>
                <w:color w:val="000000"/>
                <w:sz w:val="18"/>
                <w:szCs w:val="18"/>
                <w:lang w:eastAsia="pt-BR"/>
              </w:rPr>
            </w:pPr>
            <w:r w:rsidRPr="00DE1FC0">
              <w:rPr>
                <w:rFonts w:ascii="Calibri" w:hAnsi="Calibri"/>
                <w:color w:val="000000"/>
                <w:sz w:val="18"/>
                <w:szCs w:val="18"/>
                <w:lang w:eastAsia="pt-BR"/>
              </w:rPr>
              <w:t>Investidores que trabalham em empresa de capita aberto</w:t>
            </w:r>
          </w:p>
        </w:tc>
        <w:tc>
          <w:tcPr>
            <w:tcW w:w="1080" w:type="dxa"/>
            <w:tcBorders>
              <w:top w:val="nil"/>
              <w:left w:val="nil"/>
              <w:bottom w:val="nil"/>
              <w:right w:val="nil"/>
            </w:tcBorders>
            <w:shd w:val="clear" w:color="000000" w:fill="FFFFF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8</w:t>
            </w:r>
          </w:p>
        </w:tc>
        <w:tc>
          <w:tcPr>
            <w:tcW w:w="1340" w:type="dxa"/>
            <w:tcBorders>
              <w:top w:val="nil"/>
              <w:left w:val="nil"/>
              <w:bottom w:val="nil"/>
              <w:right w:val="nil"/>
            </w:tcBorders>
            <w:shd w:val="clear" w:color="000000" w:fill="FFFFF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9,3%</w:t>
            </w:r>
          </w:p>
        </w:tc>
      </w:tr>
      <w:tr w:rsidR="00DE1FC0" w:rsidRPr="00DE1FC0" w:rsidTr="00DE1FC0">
        <w:trPr>
          <w:trHeight w:val="300"/>
          <w:jc w:val="center"/>
        </w:trPr>
        <w:tc>
          <w:tcPr>
            <w:tcW w:w="6640" w:type="dxa"/>
            <w:tcBorders>
              <w:top w:val="nil"/>
              <w:left w:val="nil"/>
              <w:bottom w:val="nil"/>
              <w:right w:val="nil"/>
            </w:tcBorders>
            <w:shd w:val="clear" w:color="000000" w:fill="FFFFFF"/>
            <w:vAlign w:val="bottom"/>
            <w:hideMark/>
          </w:tcPr>
          <w:p w:rsidR="00DE1FC0" w:rsidRPr="00DE1FC0" w:rsidRDefault="00DE1FC0" w:rsidP="00DE1FC0">
            <w:pPr>
              <w:spacing w:after="0" w:line="240" w:lineRule="auto"/>
              <w:jc w:val="left"/>
              <w:rPr>
                <w:rFonts w:ascii="Calibri" w:hAnsi="Calibri"/>
                <w:color w:val="000000"/>
                <w:sz w:val="18"/>
                <w:szCs w:val="18"/>
                <w:lang w:eastAsia="pt-BR"/>
              </w:rPr>
            </w:pPr>
            <w:r w:rsidRPr="00DE1FC0">
              <w:rPr>
                <w:rFonts w:ascii="Calibri" w:hAnsi="Calibri"/>
                <w:color w:val="000000"/>
                <w:sz w:val="18"/>
                <w:szCs w:val="18"/>
                <w:lang w:eastAsia="pt-BR"/>
              </w:rPr>
              <w:t>Investidores que possuem alguma ação da empresa onde trabalham</w:t>
            </w:r>
          </w:p>
        </w:tc>
        <w:tc>
          <w:tcPr>
            <w:tcW w:w="1080" w:type="dxa"/>
            <w:tcBorders>
              <w:top w:val="nil"/>
              <w:left w:val="nil"/>
              <w:bottom w:val="nil"/>
              <w:right w:val="nil"/>
            </w:tcBorders>
            <w:shd w:val="clear" w:color="000000" w:fill="FFFFF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8</w:t>
            </w:r>
          </w:p>
        </w:tc>
        <w:tc>
          <w:tcPr>
            <w:tcW w:w="1340" w:type="dxa"/>
            <w:tcBorders>
              <w:top w:val="nil"/>
              <w:left w:val="nil"/>
              <w:bottom w:val="nil"/>
              <w:right w:val="nil"/>
            </w:tcBorders>
            <w:shd w:val="clear" w:color="000000" w:fill="FFFFF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9,3%</w:t>
            </w:r>
          </w:p>
        </w:tc>
      </w:tr>
      <w:tr w:rsidR="00DE1FC0" w:rsidRPr="00DE1FC0" w:rsidTr="00DE1FC0">
        <w:trPr>
          <w:trHeight w:val="300"/>
          <w:jc w:val="center"/>
        </w:trPr>
        <w:tc>
          <w:tcPr>
            <w:tcW w:w="6640" w:type="dxa"/>
            <w:tcBorders>
              <w:top w:val="nil"/>
              <w:left w:val="nil"/>
              <w:bottom w:val="nil"/>
              <w:right w:val="nil"/>
            </w:tcBorders>
            <w:shd w:val="clear" w:color="000000" w:fill="FFFFFF"/>
            <w:vAlign w:val="bottom"/>
            <w:hideMark/>
          </w:tcPr>
          <w:p w:rsidR="00DE1FC0" w:rsidRPr="00DE1FC0" w:rsidRDefault="00DE1FC0" w:rsidP="00DE1FC0">
            <w:pPr>
              <w:spacing w:after="0" w:line="240" w:lineRule="auto"/>
              <w:ind w:firstLineChars="100" w:firstLine="180"/>
              <w:jc w:val="left"/>
              <w:rPr>
                <w:rFonts w:ascii="Calibri" w:hAnsi="Calibri"/>
                <w:i/>
                <w:iCs/>
                <w:color w:val="000000"/>
                <w:sz w:val="18"/>
                <w:szCs w:val="18"/>
                <w:lang w:eastAsia="pt-BR"/>
              </w:rPr>
            </w:pPr>
            <w:r w:rsidRPr="00DE1FC0">
              <w:rPr>
                <w:rFonts w:ascii="Calibri" w:hAnsi="Calibri"/>
                <w:i/>
                <w:iCs/>
                <w:color w:val="000000"/>
                <w:sz w:val="18"/>
                <w:szCs w:val="18"/>
                <w:lang w:eastAsia="pt-BR"/>
              </w:rPr>
              <w:t>Média desta participação no portfólio</w:t>
            </w:r>
          </w:p>
        </w:tc>
        <w:tc>
          <w:tcPr>
            <w:tcW w:w="1080" w:type="dxa"/>
            <w:tcBorders>
              <w:top w:val="nil"/>
              <w:left w:val="nil"/>
              <w:bottom w:val="nil"/>
              <w:right w:val="nil"/>
            </w:tcBorders>
            <w:shd w:val="clear" w:color="000000" w:fill="FFFFF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 </w:t>
            </w:r>
          </w:p>
        </w:tc>
        <w:tc>
          <w:tcPr>
            <w:tcW w:w="1340" w:type="dxa"/>
            <w:tcBorders>
              <w:top w:val="nil"/>
              <w:left w:val="nil"/>
              <w:bottom w:val="nil"/>
              <w:right w:val="nil"/>
            </w:tcBorders>
            <w:shd w:val="clear" w:color="000000" w:fill="FFFFF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34,9%</w:t>
            </w:r>
          </w:p>
        </w:tc>
      </w:tr>
      <w:tr w:rsidR="00DE1FC0" w:rsidRPr="00DE1FC0" w:rsidTr="00DE1FC0">
        <w:trPr>
          <w:trHeight w:val="300"/>
          <w:jc w:val="center"/>
        </w:trPr>
        <w:tc>
          <w:tcPr>
            <w:tcW w:w="6640" w:type="dxa"/>
            <w:tcBorders>
              <w:top w:val="nil"/>
              <w:left w:val="nil"/>
              <w:bottom w:val="nil"/>
              <w:right w:val="nil"/>
            </w:tcBorders>
            <w:shd w:val="clear" w:color="000000" w:fill="FFFFFF"/>
            <w:vAlign w:val="bottom"/>
            <w:hideMark/>
          </w:tcPr>
          <w:p w:rsidR="00DE1FC0" w:rsidRPr="00DE1FC0" w:rsidRDefault="00DE1FC0" w:rsidP="00DE1FC0">
            <w:pPr>
              <w:spacing w:after="0" w:line="240" w:lineRule="auto"/>
              <w:ind w:firstLineChars="100" w:firstLine="180"/>
              <w:jc w:val="left"/>
              <w:rPr>
                <w:rFonts w:ascii="Calibri" w:hAnsi="Calibri"/>
                <w:i/>
                <w:iCs/>
                <w:color w:val="000000"/>
                <w:sz w:val="18"/>
                <w:szCs w:val="18"/>
                <w:lang w:eastAsia="pt-BR"/>
              </w:rPr>
            </w:pPr>
            <w:r w:rsidRPr="00DE1FC0">
              <w:rPr>
                <w:rFonts w:ascii="Calibri" w:hAnsi="Calibri"/>
                <w:i/>
                <w:iCs/>
                <w:color w:val="000000"/>
                <w:sz w:val="18"/>
                <w:szCs w:val="18"/>
                <w:lang w:eastAsia="pt-BR"/>
              </w:rPr>
              <w:t>Mediana desta participação no portfólio</w:t>
            </w:r>
          </w:p>
        </w:tc>
        <w:tc>
          <w:tcPr>
            <w:tcW w:w="1080" w:type="dxa"/>
            <w:tcBorders>
              <w:top w:val="nil"/>
              <w:left w:val="nil"/>
              <w:bottom w:val="nil"/>
              <w:right w:val="nil"/>
            </w:tcBorders>
            <w:shd w:val="clear" w:color="000000" w:fill="FFFFF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 </w:t>
            </w:r>
          </w:p>
        </w:tc>
        <w:tc>
          <w:tcPr>
            <w:tcW w:w="1340" w:type="dxa"/>
            <w:tcBorders>
              <w:top w:val="nil"/>
              <w:left w:val="nil"/>
              <w:bottom w:val="nil"/>
              <w:right w:val="nil"/>
            </w:tcBorders>
            <w:shd w:val="clear" w:color="000000" w:fill="FFFFF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20,3%</w:t>
            </w:r>
          </w:p>
        </w:tc>
      </w:tr>
      <w:tr w:rsidR="00DE1FC0" w:rsidRPr="00DE1FC0" w:rsidTr="00DE1FC0">
        <w:trPr>
          <w:trHeight w:val="300"/>
          <w:jc w:val="center"/>
        </w:trPr>
        <w:tc>
          <w:tcPr>
            <w:tcW w:w="6640" w:type="dxa"/>
            <w:tcBorders>
              <w:top w:val="nil"/>
              <w:left w:val="nil"/>
              <w:bottom w:val="nil"/>
              <w:right w:val="nil"/>
            </w:tcBorders>
            <w:shd w:val="clear" w:color="000000" w:fill="FFFFFF"/>
            <w:vAlign w:val="bottom"/>
            <w:hideMark/>
          </w:tcPr>
          <w:p w:rsidR="00DE1FC0" w:rsidRPr="00DE1FC0" w:rsidRDefault="00DE1FC0" w:rsidP="00DE1FC0">
            <w:pPr>
              <w:spacing w:after="0" w:line="240" w:lineRule="auto"/>
              <w:jc w:val="left"/>
              <w:rPr>
                <w:rFonts w:ascii="Calibri" w:hAnsi="Calibri"/>
                <w:color w:val="000000"/>
                <w:sz w:val="18"/>
                <w:szCs w:val="18"/>
                <w:lang w:eastAsia="pt-BR"/>
              </w:rPr>
            </w:pPr>
            <w:r w:rsidRPr="00DE1FC0">
              <w:rPr>
                <w:rFonts w:ascii="Calibri" w:hAnsi="Calibri"/>
                <w:color w:val="000000"/>
                <w:sz w:val="18"/>
                <w:szCs w:val="18"/>
                <w:lang w:eastAsia="pt-BR"/>
              </w:rPr>
              <w:t>Quantidade onde a ação da empresa é a maior do portfólio</w:t>
            </w:r>
          </w:p>
        </w:tc>
        <w:tc>
          <w:tcPr>
            <w:tcW w:w="1080" w:type="dxa"/>
            <w:tcBorders>
              <w:top w:val="nil"/>
              <w:left w:val="nil"/>
              <w:bottom w:val="nil"/>
              <w:right w:val="nil"/>
            </w:tcBorders>
            <w:shd w:val="clear" w:color="000000" w:fill="FFFFF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2</w:t>
            </w:r>
          </w:p>
        </w:tc>
        <w:tc>
          <w:tcPr>
            <w:tcW w:w="1340" w:type="dxa"/>
            <w:tcBorders>
              <w:top w:val="nil"/>
              <w:left w:val="nil"/>
              <w:bottom w:val="nil"/>
              <w:right w:val="nil"/>
            </w:tcBorders>
            <w:shd w:val="clear" w:color="000000" w:fill="FFFFF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2,3%</w:t>
            </w:r>
          </w:p>
        </w:tc>
      </w:tr>
      <w:tr w:rsidR="00DE1FC0" w:rsidRPr="00DE1FC0" w:rsidTr="00DE1FC0">
        <w:trPr>
          <w:trHeight w:val="300"/>
          <w:jc w:val="center"/>
        </w:trPr>
        <w:tc>
          <w:tcPr>
            <w:tcW w:w="6640" w:type="dxa"/>
            <w:tcBorders>
              <w:top w:val="nil"/>
              <w:left w:val="nil"/>
              <w:bottom w:val="nil"/>
              <w:right w:val="nil"/>
            </w:tcBorders>
            <w:shd w:val="clear" w:color="000000" w:fill="FFFFFF"/>
            <w:vAlign w:val="bottom"/>
            <w:hideMark/>
          </w:tcPr>
          <w:p w:rsidR="00DE1FC0" w:rsidRPr="00DE1FC0" w:rsidRDefault="00DE1FC0" w:rsidP="00DE1FC0">
            <w:pPr>
              <w:spacing w:after="0" w:line="240" w:lineRule="auto"/>
              <w:ind w:firstLineChars="100" w:firstLine="180"/>
              <w:jc w:val="left"/>
              <w:rPr>
                <w:rFonts w:ascii="Calibri" w:hAnsi="Calibri"/>
                <w:i/>
                <w:iCs/>
                <w:color w:val="000000"/>
                <w:sz w:val="18"/>
                <w:szCs w:val="18"/>
                <w:lang w:eastAsia="pt-BR"/>
              </w:rPr>
            </w:pPr>
            <w:r w:rsidRPr="00DE1FC0">
              <w:rPr>
                <w:rFonts w:ascii="Calibri" w:hAnsi="Calibri"/>
                <w:i/>
                <w:iCs/>
                <w:color w:val="000000"/>
                <w:sz w:val="18"/>
                <w:szCs w:val="18"/>
                <w:lang w:eastAsia="pt-BR"/>
              </w:rPr>
              <w:t> </w:t>
            </w:r>
          </w:p>
        </w:tc>
        <w:tc>
          <w:tcPr>
            <w:tcW w:w="1080" w:type="dxa"/>
            <w:tcBorders>
              <w:top w:val="nil"/>
              <w:left w:val="nil"/>
              <w:bottom w:val="nil"/>
              <w:right w:val="nil"/>
            </w:tcBorders>
            <w:shd w:val="clear" w:color="000000" w:fill="FFFFF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 </w:t>
            </w:r>
          </w:p>
        </w:tc>
        <w:tc>
          <w:tcPr>
            <w:tcW w:w="1340" w:type="dxa"/>
            <w:tcBorders>
              <w:top w:val="nil"/>
              <w:left w:val="nil"/>
              <w:bottom w:val="nil"/>
              <w:right w:val="nil"/>
            </w:tcBorders>
            <w:shd w:val="clear" w:color="000000" w:fill="FFFFF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 </w:t>
            </w:r>
          </w:p>
        </w:tc>
      </w:tr>
      <w:tr w:rsidR="00DE1FC0" w:rsidRPr="00DE1FC0" w:rsidTr="00DE1FC0">
        <w:trPr>
          <w:trHeight w:val="495"/>
          <w:jc w:val="center"/>
        </w:trPr>
        <w:tc>
          <w:tcPr>
            <w:tcW w:w="6640" w:type="dxa"/>
            <w:tcBorders>
              <w:top w:val="nil"/>
              <w:left w:val="nil"/>
              <w:bottom w:val="nil"/>
              <w:right w:val="nil"/>
            </w:tcBorders>
            <w:shd w:val="clear" w:color="000000" w:fill="FFFFFF"/>
            <w:vAlign w:val="bottom"/>
            <w:hideMark/>
          </w:tcPr>
          <w:p w:rsidR="00DE1FC0" w:rsidRPr="00DE1FC0" w:rsidRDefault="00DE1FC0" w:rsidP="00DE1FC0">
            <w:pPr>
              <w:spacing w:after="0" w:line="240" w:lineRule="auto"/>
              <w:jc w:val="left"/>
              <w:rPr>
                <w:rFonts w:ascii="Calibri" w:hAnsi="Calibri"/>
                <w:color w:val="000000"/>
                <w:sz w:val="18"/>
                <w:szCs w:val="18"/>
                <w:lang w:eastAsia="pt-BR"/>
              </w:rPr>
            </w:pPr>
            <w:r w:rsidRPr="00DE1FC0">
              <w:rPr>
                <w:rFonts w:ascii="Calibri" w:hAnsi="Calibri"/>
                <w:color w:val="000000"/>
                <w:sz w:val="18"/>
                <w:szCs w:val="18"/>
                <w:lang w:eastAsia="pt-BR"/>
              </w:rPr>
              <w:t>Participação média no portfólio dos investidores que não trabalham na empresa</w:t>
            </w:r>
          </w:p>
        </w:tc>
        <w:tc>
          <w:tcPr>
            <w:tcW w:w="1080" w:type="dxa"/>
            <w:tcBorders>
              <w:top w:val="nil"/>
              <w:left w:val="nil"/>
              <w:bottom w:val="nil"/>
              <w:right w:val="nil"/>
            </w:tcBorders>
            <w:shd w:val="clear" w:color="000000" w:fill="FFFFF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 </w:t>
            </w:r>
          </w:p>
        </w:tc>
        <w:tc>
          <w:tcPr>
            <w:tcW w:w="1340" w:type="dxa"/>
            <w:tcBorders>
              <w:top w:val="nil"/>
              <w:left w:val="nil"/>
              <w:bottom w:val="nil"/>
              <w:right w:val="nil"/>
            </w:tcBorders>
            <w:shd w:val="clear" w:color="000000" w:fill="FFFFF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1,3%</w:t>
            </w:r>
          </w:p>
        </w:tc>
      </w:tr>
      <w:tr w:rsidR="00DE1FC0" w:rsidRPr="00DE1FC0" w:rsidTr="00DE1FC0">
        <w:trPr>
          <w:trHeight w:val="300"/>
          <w:jc w:val="center"/>
        </w:trPr>
        <w:tc>
          <w:tcPr>
            <w:tcW w:w="6640" w:type="dxa"/>
            <w:tcBorders>
              <w:top w:val="nil"/>
              <w:left w:val="nil"/>
              <w:bottom w:val="nil"/>
              <w:right w:val="nil"/>
            </w:tcBorders>
            <w:shd w:val="clear" w:color="000000" w:fill="FFFFFF"/>
            <w:vAlign w:val="bottom"/>
            <w:hideMark/>
          </w:tcPr>
          <w:p w:rsidR="00DE1FC0" w:rsidRPr="00DE1FC0" w:rsidRDefault="00DE1FC0" w:rsidP="00DE1FC0">
            <w:pPr>
              <w:spacing w:after="0" w:line="240" w:lineRule="auto"/>
              <w:ind w:firstLineChars="100" w:firstLine="180"/>
              <w:jc w:val="left"/>
              <w:rPr>
                <w:rFonts w:ascii="Calibri" w:hAnsi="Calibri"/>
                <w:i/>
                <w:iCs/>
                <w:color w:val="000000"/>
                <w:sz w:val="18"/>
                <w:szCs w:val="18"/>
                <w:lang w:eastAsia="pt-BR"/>
              </w:rPr>
            </w:pPr>
            <w:r w:rsidRPr="00DE1FC0">
              <w:rPr>
                <w:rFonts w:ascii="Calibri" w:hAnsi="Calibri"/>
                <w:i/>
                <w:iCs/>
                <w:color w:val="000000"/>
                <w:sz w:val="18"/>
                <w:szCs w:val="18"/>
                <w:lang w:eastAsia="pt-BR"/>
              </w:rPr>
              <w:t>Mediana</w:t>
            </w:r>
          </w:p>
        </w:tc>
        <w:tc>
          <w:tcPr>
            <w:tcW w:w="1080" w:type="dxa"/>
            <w:tcBorders>
              <w:top w:val="nil"/>
              <w:left w:val="nil"/>
              <w:bottom w:val="nil"/>
              <w:right w:val="nil"/>
            </w:tcBorders>
            <w:shd w:val="clear" w:color="000000" w:fill="FFFFF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 </w:t>
            </w:r>
          </w:p>
        </w:tc>
        <w:tc>
          <w:tcPr>
            <w:tcW w:w="1340" w:type="dxa"/>
            <w:tcBorders>
              <w:top w:val="nil"/>
              <w:left w:val="nil"/>
              <w:bottom w:val="nil"/>
              <w:right w:val="nil"/>
            </w:tcBorders>
            <w:shd w:val="clear" w:color="000000" w:fill="FFFFF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0,0%</w:t>
            </w:r>
          </w:p>
        </w:tc>
      </w:tr>
      <w:tr w:rsidR="00DE1FC0" w:rsidRPr="00DE1FC0" w:rsidTr="00DE1FC0">
        <w:trPr>
          <w:trHeight w:val="300"/>
          <w:jc w:val="center"/>
        </w:trPr>
        <w:tc>
          <w:tcPr>
            <w:tcW w:w="6640" w:type="dxa"/>
            <w:tcBorders>
              <w:top w:val="nil"/>
              <w:left w:val="nil"/>
              <w:bottom w:val="nil"/>
              <w:right w:val="nil"/>
            </w:tcBorders>
            <w:shd w:val="clear" w:color="000000" w:fill="FFFFFF"/>
            <w:vAlign w:val="bottom"/>
            <w:hideMark/>
          </w:tcPr>
          <w:p w:rsidR="00DE1FC0" w:rsidRPr="00DE1FC0" w:rsidRDefault="00DE1FC0" w:rsidP="00DE1FC0">
            <w:pPr>
              <w:spacing w:after="0" w:line="240" w:lineRule="auto"/>
              <w:ind w:firstLineChars="100" w:firstLine="180"/>
              <w:jc w:val="left"/>
              <w:rPr>
                <w:rFonts w:ascii="Calibri" w:hAnsi="Calibri"/>
                <w:i/>
                <w:iCs/>
                <w:color w:val="000000"/>
                <w:sz w:val="18"/>
                <w:szCs w:val="18"/>
                <w:lang w:eastAsia="pt-BR"/>
              </w:rPr>
            </w:pPr>
            <w:r w:rsidRPr="00DE1FC0">
              <w:rPr>
                <w:rFonts w:ascii="Calibri" w:hAnsi="Calibri"/>
                <w:i/>
                <w:iCs/>
                <w:color w:val="000000"/>
                <w:sz w:val="18"/>
                <w:szCs w:val="18"/>
                <w:lang w:eastAsia="pt-BR"/>
              </w:rPr>
              <w:t> </w:t>
            </w:r>
          </w:p>
        </w:tc>
        <w:tc>
          <w:tcPr>
            <w:tcW w:w="1080" w:type="dxa"/>
            <w:tcBorders>
              <w:top w:val="nil"/>
              <w:left w:val="nil"/>
              <w:bottom w:val="nil"/>
              <w:right w:val="nil"/>
            </w:tcBorders>
            <w:shd w:val="clear" w:color="000000" w:fill="FFFFF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 </w:t>
            </w:r>
          </w:p>
        </w:tc>
        <w:tc>
          <w:tcPr>
            <w:tcW w:w="1340" w:type="dxa"/>
            <w:tcBorders>
              <w:top w:val="nil"/>
              <w:left w:val="nil"/>
              <w:bottom w:val="nil"/>
              <w:right w:val="nil"/>
            </w:tcBorders>
            <w:shd w:val="clear" w:color="000000" w:fill="FFFFF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 </w:t>
            </w:r>
          </w:p>
        </w:tc>
      </w:tr>
      <w:tr w:rsidR="00DE1FC0" w:rsidRPr="00DE1FC0" w:rsidTr="00DE1FC0">
        <w:trPr>
          <w:trHeight w:val="300"/>
          <w:jc w:val="center"/>
        </w:trPr>
        <w:tc>
          <w:tcPr>
            <w:tcW w:w="6640" w:type="dxa"/>
            <w:tcBorders>
              <w:top w:val="nil"/>
              <w:left w:val="nil"/>
              <w:bottom w:val="nil"/>
              <w:right w:val="nil"/>
            </w:tcBorders>
            <w:shd w:val="clear" w:color="000000" w:fill="FFFFFF"/>
            <w:vAlign w:val="bottom"/>
            <w:hideMark/>
          </w:tcPr>
          <w:p w:rsidR="00DE1FC0" w:rsidRPr="00DE1FC0" w:rsidRDefault="00DE1FC0" w:rsidP="00DE1FC0">
            <w:pPr>
              <w:spacing w:after="0" w:line="240" w:lineRule="auto"/>
              <w:jc w:val="left"/>
              <w:rPr>
                <w:rFonts w:ascii="Calibri" w:hAnsi="Calibri"/>
                <w:color w:val="000000"/>
                <w:sz w:val="18"/>
                <w:szCs w:val="18"/>
                <w:lang w:eastAsia="pt-BR"/>
              </w:rPr>
            </w:pPr>
            <w:r w:rsidRPr="00DE1FC0">
              <w:rPr>
                <w:rFonts w:ascii="Calibri" w:hAnsi="Calibri"/>
                <w:color w:val="000000"/>
                <w:sz w:val="18"/>
                <w:szCs w:val="18"/>
                <w:lang w:eastAsia="pt-BR"/>
              </w:rPr>
              <w:t>Média da diferença</w:t>
            </w:r>
          </w:p>
        </w:tc>
        <w:tc>
          <w:tcPr>
            <w:tcW w:w="1080" w:type="dxa"/>
            <w:tcBorders>
              <w:top w:val="nil"/>
              <w:left w:val="nil"/>
              <w:bottom w:val="nil"/>
              <w:right w:val="nil"/>
            </w:tcBorders>
            <w:shd w:val="clear" w:color="000000" w:fill="FFFFF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 </w:t>
            </w:r>
          </w:p>
        </w:tc>
        <w:tc>
          <w:tcPr>
            <w:tcW w:w="1340" w:type="dxa"/>
            <w:tcBorders>
              <w:top w:val="nil"/>
              <w:left w:val="nil"/>
              <w:bottom w:val="nil"/>
              <w:right w:val="nil"/>
            </w:tcBorders>
            <w:shd w:val="clear" w:color="000000" w:fill="FFFFF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33,5%</w:t>
            </w:r>
          </w:p>
        </w:tc>
      </w:tr>
      <w:tr w:rsidR="00DE1FC0" w:rsidRPr="00DE1FC0" w:rsidTr="00DE1FC0">
        <w:trPr>
          <w:trHeight w:val="315"/>
          <w:jc w:val="center"/>
        </w:trPr>
        <w:tc>
          <w:tcPr>
            <w:tcW w:w="6640" w:type="dxa"/>
            <w:tcBorders>
              <w:top w:val="nil"/>
              <w:left w:val="nil"/>
              <w:bottom w:val="double" w:sz="6" w:space="0" w:color="auto"/>
              <w:right w:val="nil"/>
            </w:tcBorders>
            <w:shd w:val="clear" w:color="000000" w:fill="FFFFFF"/>
            <w:vAlign w:val="bottom"/>
            <w:hideMark/>
          </w:tcPr>
          <w:p w:rsidR="00DE1FC0" w:rsidRPr="00DE1FC0" w:rsidRDefault="00DE1FC0" w:rsidP="00DE1FC0">
            <w:pPr>
              <w:spacing w:after="0" w:line="240" w:lineRule="auto"/>
              <w:ind w:firstLineChars="100" w:firstLine="180"/>
              <w:jc w:val="left"/>
              <w:rPr>
                <w:rFonts w:ascii="Calibri" w:hAnsi="Calibri"/>
                <w:i/>
                <w:iCs/>
                <w:color w:val="000000"/>
                <w:sz w:val="18"/>
                <w:szCs w:val="18"/>
                <w:lang w:eastAsia="pt-BR"/>
              </w:rPr>
            </w:pPr>
            <w:r w:rsidRPr="00DE1FC0">
              <w:rPr>
                <w:rFonts w:ascii="Calibri" w:hAnsi="Calibri"/>
                <w:i/>
                <w:iCs/>
                <w:color w:val="000000"/>
                <w:sz w:val="18"/>
                <w:szCs w:val="18"/>
                <w:lang w:eastAsia="pt-BR"/>
              </w:rPr>
              <w:t>Mediana da diferença</w:t>
            </w:r>
          </w:p>
        </w:tc>
        <w:tc>
          <w:tcPr>
            <w:tcW w:w="1080" w:type="dxa"/>
            <w:tcBorders>
              <w:top w:val="nil"/>
              <w:left w:val="nil"/>
              <w:bottom w:val="double" w:sz="6" w:space="0" w:color="auto"/>
              <w:right w:val="nil"/>
            </w:tcBorders>
            <w:shd w:val="clear" w:color="000000" w:fill="FFFFF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 </w:t>
            </w:r>
          </w:p>
        </w:tc>
        <w:tc>
          <w:tcPr>
            <w:tcW w:w="1340" w:type="dxa"/>
            <w:tcBorders>
              <w:top w:val="nil"/>
              <w:left w:val="nil"/>
              <w:bottom w:val="double" w:sz="6" w:space="0" w:color="auto"/>
              <w:right w:val="nil"/>
            </w:tcBorders>
            <w:shd w:val="clear" w:color="000000" w:fill="FFFFFF"/>
            <w:noWrap/>
            <w:vAlign w:val="bottom"/>
            <w:hideMark/>
          </w:tcPr>
          <w:p w:rsidR="00DE1FC0" w:rsidRPr="00DE1FC0" w:rsidRDefault="00DE1FC0" w:rsidP="00DE1FC0">
            <w:pPr>
              <w:spacing w:after="0" w:line="240" w:lineRule="auto"/>
              <w:jc w:val="center"/>
              <w:rPr>
                <w:rFonts w:ascii="Calibri" w:hAnsi="Calibri"/>
                <w:color w:val="000000"/>
                <w:sz w:val="18"/>
                <w:szCs w:val="18"/>
                <w:lang w:eastAsia="pt-BR"/>
              </w:rPr>
            </w:pPr>
            <w:r w:rsidRPr="00DE1FC0">
              <w:rPr>
                <w:rFonts w:ascii="Calibri" w:hAnsi="Calibri"/>
                <w:color w:val="000000"/>
                <w:sz w:val="18"/>
                <w:szCs w:val="18"/>
                <w:lang w:eastAsia="pt-BR"/>
              </w:rPr>
              <w:t>17,3%</w:t>
            </w:r>
          </w:p>
        </w:tc>
      </w:tr>
    </w:tbl>
    <w:p w:rsidR="00DF5F51" w:rsidRDefault="00FF5B42" w:rsidP="00FF5B42">
      <w:pPr>
        <w:rPr>
          <w:rFonts w:ascii="Arial" w:hAnsi="Arial" w:cs="Arial"/>
          <w:sz w:val="24"/>
        </w:rPr>
      </w:pPr>
      <w:r>
        <w:rPr>
          <w:rFonts w:ascii="Arial" w:hAnsi="Arial" w:cs="Arial"/>
          <w:sz w:val="16"/>
          <w:szCs w:val="18"/>
        </w:rPr>
        <w:t xml:space="preserve">      </w:t>
      </w:r>
      <w:r w:rsidR="00DE1FC0" w:rsidRPr="0047042E">
        <w:rPr>
          <w:rFonts w:ascii="Arial" w:hAnsi="Arial" w:cs="Arial"/>
          <w:sz w:val="16"/>
          <w:szCs w:val="18"/>
        </w:rPr>
        <w:t>Fonte: Dados da amostra</w:t>
      </w:r>
    </w:p>
    <w:p w:rsidR="00DA4486" w:rsidRDefault="00D34F6B" w:rsidP="00DB67D1">
      <w:pPr>
        <w:ind w:firstLine="709"/>
        <w:rPr>
          <w:rFonts w:ascii="Arial" w:hAnsi="Arial" w:cs="Arial"/>
          <w:sz w:val="24"/>
        </w:rPr>
      </w:pPr>
      <w:r>
        <w:rPr>
          <w:rFonts w:ascii="Arial" w:hAnsi="Arial" w:cs="Arial"/>
          <w:sz w:val="24"/>
        </w:rPr>
        <w:lastRenderedPageBreak/>
        <w:t>Quando consideramos a hipótese de percentual de participação correlacionada com o desempenho da ação da empresa nos ú</w:t>
      </w:r>
      <w:r w:rsidR="005A1607">
        <w:rPr>
          <w:rFonts w:ascii="Arial" w:hAnsi="Arial" w:cs="Arial"/>
          <w:sz w:val="24"/>
        </w:rPr>
        <w:t>ltimos 10 anos, identificamos 24</w:t>
      </w:r>
      <w:r>
        <w:rPr>
          <w:rFonts w:ascii="Arial" w:hAnsi="Arial" w:cs="Arial"/>
          <w:sz w:val="24"/>
        </w:rPr>
        <w:t xml:space="preserve"> investidores que </w:t>
      </w:r>
      <w:r w:rsidR="00B13D4B">
        <w:rPr>
          <w:rFonts w:ascii="Arial" w:hAnsi="Arial" w:cs="Arial"/>
          <w:sz w:val="24"/>
        </w:rPr>
        <w:t>e</w:t>
      </w:r>
      <w:r>
        <w:rPr>
          <w:rFonts w:ascii="Arial" w:hAnsi="Arial" w:cs="Arial"/>
          <w:sz w:val="24"/>
        </w:rPr>
        <w:t>s</w:t>
      </w:r>
      <w:r w:rsidR="00B13D4B">
        <w:rPr>
          <w:rFonts w:ascii="Arial" w:hAnsi="Arial" w:cs="Arial"/>
          <w:sz w:val="24"/>
        </w:rPr>
        <w:t>t</w:t>
      </w:r>
      <w:r>
        <w:rPr>
          <w:rFonts w:ascii="Arial" w:hAnsi="Arial" w:cs="Arial"/>
          <w:sz w:val="24"/>
        </w:rPr>
        <w:t>ão correlatos com este movimento. Destes, 9 que tiveram as ações da empresa com desempenho acima do Ibovespa, possuem uma participação acim</w:t>
      </w:r>
      <w:r w:rsidR="005A1607">
        <w:rPr>
          <w:rFonts w:ascii="Arial" w:hAnsi="Arial" w:cs="Arial"/>
          <w:sz w:val="24"/>
        </w:rPr>
        <w:t>a da média da amostra. Outros 15</w:t>
      </w:r>
      <w:r>
        <w:rPr>
          <w:rFonts w:ascii="Arial" w:hAnsi="Arial" w:cs="Arial"/>
          <w:sz w:val="24"/>
        </w:rPr>
        <w:t>, em que o desempenho foi abaixo, possuem uma participação abaixo da média.</w:t>
      </w:r>
    </w:p>
    <w:p w:rsidR="00D34F6B" w:rsidRDefault="00D34F6B" w:rsidP="00DB67D1">
      <w:pPr>
        <w:ind w:firstLine="709"/>
        <w:rPr>
          <w:rFonts w:ascii="Arial" w:hAnsi="Arial" w:cs="Arial"/>
          <w:sz w:val="24"/>
        </w:rPr>
      </w:pPr>
      <w:r>
        <w:rPr>
          <w:rFonts w:ascii="Arial" w:hAnsi="Arial" w:cs="Arial"/>
          <w:sz w:val="24"/>
        </w:rPr>
        <w:t xml:space="preserve">Para a regressão entre o desempenho das ações e a participação no portfólio, identificamos ser significativa </w:t>
      </w:r>
      <w:r w:rsidR="008B34B2">
        <w:rPr>
          <w:rFonts w:ascii="Arial" w:hAnsi="Arial" w:cs="Arial"/>
          <w:sz w:val="24"/>
        </w:rPr>
        <w:t>em</w:t>
      </w:r>
      <w:r>
        <w:rPr>
          <w:rFonts w:ascii="Arial" w:hAnsi="Arial" w:cs="Arial"/>
          <w:sz w:val="24"/>
        </w:rPr>
        <w:t xml:space="preserve"> 86,4% e</w:t>
      </w:r>
      <w:r w:rsidR="008B34B2">
        <w:rPr>
          <w:rFonts w:ascii="Arial" w:hAnsi="Arial" w:cs="Arial"/>
          <w:sz w:val="24"/>
        </w:rPr>
        <w:t xml:space="preserve"> com</w:t>
      </w:r>
      <w:r>
        <w:rPr>
          <w:rFonts w:ascii="Arial" w:hAnsi="Arial" w:cs="Arial"/>
          <w:sz w:val="24"/>
        </w:rPr>
        <w:t xml:space="preserve"> coeficiente de interseção positivo, o que nos mostra que o desempenho passado das ações tem impacto sobre a posição atual </w:t>
      </w:r>
      <w:r w:rsidR="008B34B2">
        <w:rPr>
          <w:rFonts w:ascii="Arial" w:hAnsi="Arial" w:cs="Arial"/>
          <w:sz w:val="24"/>
        </w:rPr>
        <w:t>d</w:t>
      </w:r>
      <w:r>
        <w:rPr>
          <w:rFonts w:ascii="Arial" w:hAnsi="Arial" w:cs="Arial"/>
          <w:sz w:val="24"/>
        </w:rPr>
        <w:t>o portfólio do investidor que trabalha em empresa de capital aberto.</w:t>
      </w:r>
    </w:p>
    <w:tbl>
      <w:tblPr>
        <w:tblW w:w="8120" w:type="dxa"/>
        <w:jc w:val="center"/>
        <w:tblInd w:w="53" w:type="dxa"/>
        <w:tblCellMar>
          <w:left w:w="70" w:type="dxa"/>
          <w:right w:w="70" w:type="dxa"/>
        </w:tblCellMar>
        <w:tblLook w:val="04A0" w:firstRow="1" w:lastRow="0" w:firstColumn="1" w:lastColumn="0" w:noHBand="0" w:noVBand="1"/>
      </w:tblPr>
      <w:tblGrid>
        <w:gridCol w:w="5920"/>
        <w:gridCol w:w="1080"/>
        <w:gridCol w:w="1120"/>
      </w:tblGrid>
      <w:tr w:rsidR="009418B8" w:rsidRPr="009418B8" w:rsidTr="009418B8">
        <w:trPr>
          <w:trHeight w:val="315"/>
          <w:jc w:val="center"/>
        </w:trPr>
        <w:tc>
          <w:tcPr>
            <w:tcW w:w="5920" w:type="dxa"/>
            <w:tcBorders>
              <w:top w:val="nil"/>
              <w:left w:val="nil"/>
              <w:bottom w:val="double" w:sz="6" w:space="0" w:color="auto"/>
              <w:right w:val="nil"/>
            </w:tcBorders>
            <w:shd w:val="clear" w:color="000000" w:fill="FFFFFF"/>
            <w:noWrap/>
            <w:vAlign w:val="bottom"/>
            <w:hideMark/>
          </w:tcPr>
          <w:p w:rsidR="009418B8" w:rsidRPr="009418B8" w:rsidRDefault="009418B8" w:rsidP="003D3DF7">
            <w:pPr>
              <w:spacing w:after="0" w:line="240" w:lineRule="auto"/>
              <w:jc w:val="left"/>
              <w:rPr>
                <w:rFonts w:ascii="Calibri" w:hAnsi="Calibri"/>
                <w:b/>
                <w:bCs/>
                <w:color w:val="000000"/>
                <w:szCs w:val="20"/>
                <w:lang w:eastAsia="pt-BR"/>
              </w:rPr>
            </w:pPr>
            <w:r w:rsidRPr="009418B8">
              <w:rPr>
                <w:rFonts w:ascii="Calibri" w:hAnsi="Calibri"/>
                <w:b/>
                <w:bCs/>
                <w:color w:val="000000"/>
                <w:szCs w:val="20"/>
                <w:lang w:eastAsia="pt-BR"/>
              </w:rPr>
              <w:t xml:space="preserve">Tabela </w:t>
            </w:r>
            <w:r w:rsidR="003D3DF7">
              <w:rPr>
                <w:rFonts w:ascii="Calibri" w:hAnsi="Calibri"/>
                <w:b/>
                <w:bCs/>
                <w:color w:val="000000"/>
                <w:szCs w:val="20"/>
                <w:lang w:eastAsia="pt-BR"/>
              </w:rPr>
              <w:t>5</w:t>
            </w:r>
            <w:r w:rsidRPr="009418B8">
              <w:rPr>
                <w:rFonts w:ascii="Calibri" w:hAnsi="Calibri"/>
                <w:b/>
                <w:bCs/>
                <w:color w:val="000000"/>
                <w:szCs w:val="20"/>
                <w:lang w:eastAsia="pt-BR"/>
              </w:rPr>
              <w:t>: Participação no portfólio vs Retorno histórico da ação</w:t>
            </w:r>
          </w:p>
        </w:tc>
        <w:tc>
          <w:tcPr>
            <w:tcW w:w="1080" w:type="dxa"/>
            <w:tcBorders>
              <w:top w:val="nil"/>
              <w:left w:val="nil"/>
              <w:bottom w:val="double" w:sz="6" w:space="0" w:color="auto"/>
              <w:right w:val="nil"/>
            </w:tcBorders>
            <w:shd w:val="clear" w:color="000000" w:fill="FFFFFF"/>
            <w:noWrap/>
            <w:vAlign w:val="bottom"/>
            <w:hideMark/>
          </w:tcPr>
          <w:p w:rsidR="009418B8" w:rsidRPr="009418B8" w:rsidRDefault="009418B8" w:rsidP="009418B8">
            <w:pPr>
              <w:spacing w:after="0" w:line="240" w:lineRule="auto"/>
              <w:jc w:val="left"/>
              <w:rPr>
                <w:rFonts w:ascii="Calibri" w:hAnsi="Calibri"/>
                <w:b/>
                <w:bCs/>
                <w:color w:val="000000"/>
                <w:szCs w:val="20"/>
                <w:lang w:eastAsia="pt-BR"/>
              </w:rPr>
            </w:pPr>
            <w:r w:rsidRPr="009418B8">
              <w:rPr>
                <w:rFonts w:ascii="Calibri" w:hAnsi="Calibri"/>
                <w:b/>
                <w:bCs/>
                <w:color w:val="000000"/>
                <w:szCs w:val="20"/>
                <w:lang w:eastAsia="pt-BR"/>
              </w:rPr>
              <w:t> </w:t>
            </w:r>
          </w:p>
        </w:tc>
        <w:tc>
          <w:tcPr>
            <w:tcW w:w="1120" w:type="dxa"/>
            <w:tcBorders>
              <w:top w:val="nil"/>
              <w:left w:val="nil"/>
              <w:bottom w:val="double" w:sz="6" w:space="0" w:color="auto"/>
              <w:right w:val="nil"/>
            </w:tcBorders>
            <w:shd w:val="clear" w:color="000000" w:fill="FFFFFF"/>
            <w:noWrap/>
            <w:vAlign w:val="bottom"/>
            <w:hideMark/>
          </w:tcPr>
          <w:p w:rsidR="009418B8" w:rsidRPr="009418B8" w:rsidRDefault="009418B8" w:rsidP="009418B8">
            <w:pPr>
              <w:spacing w:after="0" w:line="240" w:lineRule="auto"/>
              <w:jc w:val="left"/>
              <w:rPr>
                <w:rFonts w:ascii="Calibri" w:hAnsi="Calibri"/>
                <w:b/>
                <w:bCs/>
                <w:color w:val="000000"/>
                <w:szCs w:val="20"/>
                <w:lang w:eastAsia="pt-BR"/>
              </w:rPr>
            </w:pPr>
            <w:r w:rsidRPr="009418B8">
              <w:rPr>
                <w:rFonts w:ascii="Calibri" w:hAnsi="Calibri"/>
                <w:b/>
                <w:bCs/>
                <w:color w:val="000000"/>
                <w:szCs w:val="20"/>
                <w:lang w:eastAsia="pt-BR"/>
              </w:rPr>
              <w:t> </w:t>
            </w:r>
          </w:p>
        </w:tc>
      </w:tr>
      <w:tr w:rsidR="009418B8" w:rsidRPr="009418B8" w:rsidTr="009418B8">
        <w:trPr>
          <w:trHeight w:val="280"/>
          <w:jc w:val="center"/>
        </w:trPr>
        <w:tc>
          <w:tcPr>
            <w:tcW w:w="5920" w:type="dxa"/>
            <w:tcBorders>
              <w:top w:val="nil"/>
              <w:left w:val="nil"/>
              <w:bottom w:val="double" w:sz="6" w:space="0" w:color="auto"/>
              <w:right w:val="nil"/>
            </w:tcBorders>
            <w:shd w:val="clear" w:color="000000" w:fill="BFBFBF"/>
            <w:noWrap/>
            <w:vAlign w:val="bottom"/>
            <w:hideMark/>
          </w:tcPr>
          <w:p w:rsidR="009418B8" w:rsidRPr="009418B8" w:rsidRDefault="009418B8" w:rsidP="009418B8">
            <w:pPr>
              <w:spacing w:after="0" w:line="240" w:lineRule="auto"/>
              <w:jc w:val="left"/>
              <w:rPr>
                <w:rFonts w:ascii="Calibri" w:hAnsi="Calibri"/>
                <w:color w:val="000000"/>
                <w:szCs w:val="20"/>
                <w:lang w:eastAsia="pt-BR"/>
              </w:rPr>
            </w:pPr>
            <w:r w:rsidRPr="009418B8">
              <w:rPr>
                <w:rFonts w:ascii="Calibri" w:hAnsi="Calibri"/>
                <w:color w:val="000000"/>
                <w:szCs w:val="20"/>
                <w:lang w:eastAsia="pt-BR"/>
              </w:rPr>
              <w:t> </w:t>
            </w:r>
          </w:p>
        </w:tc>
        <w:tc>
          <w:tcPr>
            <w:tcW w:w="1080" w:type="dxa"/>
            <w:tcBorders>
              <w:top w:val="nil"/>
              <w:left w:val="nil"/>
              <w:bottom w:val="double" w:sz="6" w:space="0" w:color="auto"/>
              <w:right w:val="nil"/>
            </w:tcBorders>
            <w:shd w:val="clear" w:color="000000" w:fill="BFBFBF"/>
            <w:noWrap/>
            <w:vAlign w:val="bottom"/>
            <w:hideMark/>
          </w:tcPr>
          <w:p w:rsidR="009418B8" w:rsidRPr="009418B8" w:rsidRDefault="009418B8" w:rsidP="009418B8">
            <w:pPr>
              <w:spacing w:after="0" w:line="240" w:lineRule="auto"/>
              <w:jc w:val="left"/>
              <w:rPr>
                <w:rFonts w:ascii="Calibri" w:hAnsi="Calibri"/>
                <w:color w:val="000000"/>
                <w:sz w:val="18"/>
                <w:szCs w:val="18"/>
                <w:lang w:eastAsia="pt-BR"/>
              </w:rPr>
            </w:pPr>
            <w:r w:rsidRPr="009418B8">
              <w:rPr>
                <w:rFonts w:ascii="Calibri" w:hAnsi="Calibri"/>
                <w:color w:val="000000"/>
                <w:sz w:val="18"/>
                <w:szCs w:val="18"/>
                <w:lang w:eastAsia="pt-BR"/>
              </w:rPr>
              <w:t>Quantidade</w:t>
            </w:r>
          </w:p>
        </w:tc>
        <w:tc>
          <w:tcPr>
            <w:tcW w:w="1120" w:type="dxa"/>
            <w:tcBorders>
              <w:top w:val="nil"/>
              <w:left w:val="nil"/>
              <w:bottom w:val="double" w:sz="6" w:space="0" w:color="auto"/>
              <w:right w:val="nil"/>
            </w:tcBorders>
            <w:shd w:val="clear" w:color="000000" w:fill="BFBFBF"/>
            <w:vAlign w:val="bottom"/>
            <w:hideMark/>
          </w:tcPr>
          <w:p w:rsidR="009418B8" w:rsidRPr="009418B8" w:rsidRDefault="009418B8" w:rsidP="009418B8">
            <w:pPr>
              <w:spacing w:after="0" w:line="240" w:lineRule="auto"/>
              <w:jc w:val="right"/>
              <w:rPr>
                <w:rFonts w:ascii="Calibri" w:hAnsi="Calibri"/>
                <w:color w:val="000000"/>
                <w:sz w:val="18"/>
                <w:szCs w:val="18"/>
                <w:lang w:eastAsia="pt-BR"/>
              </w:rPr>
            </w:pPr>
            <w:r w:rsidRPr="009418B8">
              <w:rPr>
                <w:rFonts w:ascii="Calibri" w:hAnsi="Calibri"/>
                <w:color w:val="000000"/>
                <w:sz w:val="18"/>
                <w:szCs w:val="18"/>
                <w:lang w:eastAsia="pt-BR"/>
              </w:rPr>
              <w:t>Percentual</w:t>
            </w:r>
          </w:p>
        </w:tc>
      </w:tr>
      <w:tr w:rsidR="009418B8" w:rsidRPr="009418B8" w:rsidTr="009418B8">
        <w:trPr>
          <w:trHeight w:val="315"/>
          <w:jc w:val="center"/>
        </w:trPr>
        <w:tc>
          <w:tcPr>
            <w:tcW w:w="5920" w:type="dxa"/>
            <w:tcBorders>
              <w:top w:val="nil"/>
              <w:left w:val="nil"/>
              <w:bottom w:val="nil"/>
              <w:right w:val="nil"/>
            </w:tcBorders>
            <w:shd w:val="clear" w:color="000000" w:fill="FFFFFF"/>
            <w:vAlign w:val="bottom"/>
            <w:hideMark/>
          </w:tcPr>
          <w:p w:rsidR="009418B8" w:rsidRPr="009418B8" w:rsidRDefault="009418B8" w:rsidP="009418B8">
            <w:pPr>
              <w:spacing w:after="0" w:line="240" w:lineRule="auto"/>
              <w:jc w:val="left"/>
              <w:rPr>
                <w:rFonts w:ascii="Calibri" w:hAnsi="Calibri"/>
                <w:color w:val="000000"/>
                <w:sz w:val="18"/>
                <w:szCs w:val="18"/>
                <w:lang w:eastAsia="pt-BR"/>
              </w:rPr>
            </w:pPr>
            <w:r w:rsidRPr="009418B8">
              <w:rPr>
                <w:rFonts w:ascii="Calibri" w:hAnsi="Calibri"/>
                <w:color w:val="000000"/>
                <w:sz w:val="18"/>
                <w:szCs w:val="18"/>
                <w:lang w:eastAsia="pt-BR"/>
              </w:rPr>
              <w:t>Participação acima da média</w:t>
            </w:r>
          </w:p>
        </w:tc>
        <w:tc>
          <w:tcPr>
            <w:tcW w:w="1080" w:type="dxa"/>
            <w:tcBorders>
              <w:top w:val="nil"/>
              <w:left w:val="nil"/>
              <w:bottom w:val="nil"/>
              <w:right w:val="nil"/>
            </w:tcBorders>
            <w:shd w:val="clear" w:color="000000" w:fill="FFFFFF"/>
            <w:noWrap/>
            <w:vAlign w:val="center"/>
            <w:hideMark/>
          </w:tcPr>
          <w:p w:rsidR="009418B8" w:rsidRPr="009418B8" w:rsidRDefault="009418B8" w:rsidP="005A1607">
            <w:pPr>
              <w:spacing w:after="0" w:line="240" w:lineRule="auto"/>
              <w:jc w:val="right"/>
              <w:rPr>
                <w:rFonts w:ascii="Calibri" w:hAnsi="Calibri"/>
                <w:color w:val="000000"/>
                <w:sz w:val="18"/>
                <w:szCs w:val="18"/>
                <w:lang w:eastAsia="pt-BR"/>
              </w:rPr>
            </w:pPr>
            <w:r w:rsidRPr="009418B8">
              <w:rPr>
                <w:rFonts w:ascii="Calibri" w:hAnsi="Calibri"/>
                <w:color w:val="000000"/>
                <w:sz w:val="18"/>
                <w:szCs w:val="18"/>
                <w:lang w:eastAsia="pt-BR"/>
              </w:rPr>
              <w:t>1</w:t>
            </w:r>
            <w:r w:rsidR="005A1607">
              <w:rPr>
                <w:rFonts w:ascii="Calibri" w:hAnsi="Calibri"/>
                <w:color w:val="000000"/>
                <w:sz w:val="18"/>
                <w:szCs w:val="18"/>
                <w:lang w:eastAsia="pt-BR"/>
              </w:rPr>
              <w:t>6</w:t>
            </w:r>
          </w:p>
        </w:tc>
        <w:tc>
          <w:tcPr>
            <w:tcW w:w="1120" w:type="dxa"/>
            <w:tcBorders>
              <w:top w:val="nil"/>
              <w:left w:val="nil"/>
              <w:bottom w:val="nil"/>
              <w:right w:val="nil"/>
            </w:tcBorders>
            <w:shd w:val="clear" w:color="000000" w:fill="FFFFFF"/>
            <w:noWrap/>
            <w:vAlign w:val="center"/>
            <w:hideMark/>
          </w:tcPr>
          <w:p w:rsidR="009418B8" w:rsidRPr="009418B8" w:rsidRDefault="005A1607" w:rsidP="005A1607">
            <w:pPr>
              <w:spacing w:after="0" w:line="240" w:lineRule="auto"/>
              <w:jc w:val="right"/>
              <w:rPr>
                <w:rFonts w:ascii="Calibri" w:hAnsi="Calibri"/>
                <w:color w:val="000000"/>
                <w:sz w:val="18"/>
                <w:szCs w:val="18"/>
                <w:lang w:eastAsia="pt-BR"/>
              </w:rPr>
            </w:pPr>
            <w:r>
              <w:rPr>
                <w:rFonts w:ascii="Calibri" w:hAnsi="Calibri"/>
                <w:color w:val="000000"/>
                <w:sz w:val="18"/>
                <w:szCs w:val="18"/>
                <w:lang w:eastAsia="pt-BR"/>
              </w:rPr>
              <w:t>37</w:t>
            </w:r>
            <w:r w:rsidR="00D14503">
              <w:rPr>
                <w:rFonts w:ascii="Calibri" w:hAnsi="Calibri"/>
                <w:color w:val="000000"/>
                <w:sz w:val="18"/>
                <w:szCs w:val="18"/>
                <w:lang w:eastAsia="pt-BR"/>
              </w:rPr>
              <w:t>,</w:t>
            </w:r>
            <w:r>
              <w:rPr>
                <w:rFonts w:ascii="Calibri" w:hAnsi="Calibri"/>
                <w:color w:val="000000"/>
                <w:sz w:val="18"/>
                <w:szCs w:val="18"/>
                <w:lang w:eastAsia="pt-BR"/>
              </w:rPr>
              <w:t>2</w:t>
            </w:r>
            <w:r w:rsidR="009418B8" w:rsidRPr="009418B8">
              <w:rPr>
                <w:rFonts w:ascii="Calibri" w:hAnsi="Calibri"/>
                <w:color w:val="000000"/>
                <w:sz w:val="18"/>
                <w:szCs w:val="18"/>
                <w:lang w:eastAsia="pt-BR"/>
              </w:rPr>
              <w:t>%</w:t>
            </w:r>
          </w:p>
        </w:tc>
      </w:tr>
      <w:tr w:rsidR="009418B8" w:rsidRPr="009418B8" w:rsidTr="009418B8">
        <w:trPr>
          <w:trHeight w:val="300"/>
          <w:jc w:val="center"/>
        </w:trPr>
        <w:tc>
          <w:tcPr>
            <w:tcW w:w="5920" w:type="dxa"/>
            <w:tcBorders>
              <w:top w:val="nil"/>
              <w:left w:val="nil"/>
              <w:bottom w:val="nil"/>
              <w:right w:val="nil"/>
            </w:tcBorders>
            <w:shd w:val="clear" w:color="000000" w:fill="FFFFFF"/>
            <w:vAlign w:val="bottom"/>
            <w:hideMark/>
          </w:tcPr>
          <w:p w:rsidR="009418B8" w:rsidRPr="009418B8" w:rsidRDefault="009418B8" w:rsidP="009418B8">
            <w:pPr>
              <w:spacing w:after="0" w:line="240" w:lineRule="auto"/>
              <w:jc w:val="left"/>
              <w:rPr>
                <w:rFonts w:ascii="Calibri" w:hAnsi="Calibri"/>
                <w:color w:val="000000"/>
                <w:sz w:val="18"/>
                <w:szCs w:val="18"/>
                <w:lang w:eastAsia="pt-BR"/>
              </w:rPr>
            </w:pPr>
            <w:r w:rsidRPr="009418B8">
              <w:rPr>
                <w:rFonts w:ascii="Calibri" w:hAnsi="Calibri"/>
                <w:color w:val="000000"/>
                <w:sz w:val="18"/>
                <w:szCs w:val="18"/>
                <w:lang w:eastAsia="pt-BR"/>
              </w:rPr>
              <w:t>Participação abaixo da média</w:t>
            </w:r>
          </w:p>
        </w:tc>
        <w:tc>
          <w:tcPr>
            <w:tcW w:w="1080" w:type="dxa"/>
            <w:tcBorders>
              <w:top w:val="nil"/>
              <w:left w:val="nil"/>
              <w:bottom w:val="nil"/>
              <w:right w:val="nil"/>
            </w:tcBorders>
            <w:shd w:val="clear" w:color="000000" w:fill="FFFFFF"/>
            <w:noWrap/>
            <w:vAlign w:val="center"/>
            <w:hideMark/>
          </w:tcPr>
          <w:p w:rsidR="009418B8" w:rsidRPr="009418B8" w:rsidRDefault="009418B8" w:rsidP="009418B8">
            <w:pPr>
              <w:spacing w:after="0" w:line="240" w:lineRule="auto"/>
              <w:jc w:val="right"/>
              <w:rPr>
                <w:rFonts w:ascii="Calibri" w:hAnsi="Calibri"/>
                <w:color w:val="000000"/>
                <w:sz w:val="18"/>
                <w:szCs w:val="18"/>
                <w:lang w:eastAsia="pt-BR"/>
              </w:rPr>
            </w:pPr>
            <w:r w:rsidRPr="009418B8">
              <w:rPr>
                <w:rFonts w:ascii="Calibri" w:hAnsi="Calibri"/>
                <w:color w:val="000000"/>
                <w:sz w:val="18"/>
                <w:szCs w:val="18"/>
                <w:lang w:eastAsia="pt-BR"/>
              </w:rPr>
              <w:t>27</w:t>
            </w:r>
          </w:p>
        </w:tc>
        <w:tc>
          <w:tcPr>
            <w:tcW w:w="1120" w:type="dxa"/>
            <w:tcBorders>
              <w:top w:val="nil"/>
              <w:left w:val="nil"/>
              <w:bottom w:val="nil"/>
              <w:right w:val="nil"/>
            </w:tcBorders>
            <w:shd w:val="clear" w:color="000000" w:fill="FFFFFF"/>
            <w:noWrap/>
            <w:vAlign w:val="center"/>
            <w:hideMark/>
          </w:tcPr>
          <w:p w:rsidR="009418B8" w:rsidRPr="009418B8" w:rsidRDefault="00D14503" w:rsidP="005A1607">
            <w:pPr>
              <w:spacing w:after="0" w:line="240" w:lineRule="auto"/>
              <w:jc w:val="right"/>
              <w:rPr>
                <w:rFonts w:ascii="Calibri" w:hAnsi="Calibri"/>
                <w:color w:val="000000"/>
                <w:sz w:val="18"/>
                <w:szCs w:val="18"/>
                <w:lang w:eastAsia="pt-BR"/>
              </w:rPr>
            </w:pPr>
            <w:r>
              <w:rPr>
                <w:rFonts w:ascii="Calibri" w:hAnsi="Calibri"/>
                <w:color w:val="000000"/>
                <w:sz w:val="18"/>
                <w:szCs w:val="18"/>
                <w:lang w:eastAsia="pt-BR"/>
              </w:rPr>
              <w:t>6</w:t>
            </w:r>
            <w:r w:rsidR="005A1607">
              <w:rPr>
                <w:rFonts w:ascii="Calibri" w:hAnsi="Calibri"/>
                <w:color w:val="000000"/>
                <w:sz w:val="18"/>
                <w:szCs w:val="18"/>
                <w:lang w:eastAsia="pt-BR"/>
              </w:rPr>
              <w:t>2</w:t>
            </w:r>
            <w:r>
              <w:rPr>
                <w:rFonts w:ascii="Calibri" w:hAnsi="Calibri"/>
                <w:color w:val="000000"/>
                <w:sz w:val="18"/>
                <w:szCs w:val="18"/>
                <w:lang w:eastAsia="pt-BR"/>
              </w:rPr>
              <w:t>,</w:t>
            </w:r>
            <w:r w:rsidR="005A1607">
              <w:rPr>
                <w:rFonts w:ascii="Calibri" w:hAnsi="Calibri"/>
                <w:color w:val="000000"/>
                <w:sz w:val="18"/>
                <w:szCs w:val="18"/>
                <w:lang w:eastAsia="pt-BR"/>
              </w:rPr>
              <w:t>8</w:t>
            </w:r>
            <w:r w:rsidR="009418B8" w:rsidRPr="009418B8">
              <w:rPr>
                <w:rFonts w:ascii="Calibri" w:hAnsi="Calibri"/>
                <w:color w:val="000000"/>
                <w:sz w:val="18"/>
                <w:szCs w:val="18"/>
                <w:lang w:eastAsia="pt-BR"/>
              </w:rPr>
              <w:t>%</w:t>
            </w:r>
          </w:p>
        </w:tc>
      </w:tr>
      <w:tr w:rsidR="009418B8" w:rsidRPr="009418B8" w:rsidTr="009418B8">
        <w:trPr>
          <w:trHeight w:val="300"/>
          <w:jc w:val="center"/>
        </w:trPr>
        <w:tc>
          <w:tcPr>
            <w:tcW w:w="5920" w:type="dxa"/>
            <w:tcBorders>
              <w:top w:val="nil"/>
              <w:left w:val="nil"/>
              <w:bottom w:val="nil"/>
              <w:right w:val="nil"/>
            </w:tcBorders>
            <w:shd w:val="clear" w:color="000000" w:fill="FFFFFF"/>
            <w:vAlign w:val="bottom"/>
            <w:hideMark/>
          </w:tcPr>
          <w:p w:rsidR="009418B8" w:rsidRPr="009418B8" w:rsidRDefault="009418B8" w:rsidP="009418B8">
            <w:pPr>
              <w:spacing w:after="0" w:line="240" w:lineRule="auto"/>
              <w:jc w:val="left"/>
              <w:rPr>
                <w:rFonts w:ascii="Calibri" w:hAnsi="Calibri"/>
                <w:color w:val="000000"/>
                <w:sz w:val="18"/>
                <w:szCs w:val="18"/>
                <w:lang w:eastAsia="pt-BR"/>
              </w:rPr>
            </w:pPr>
            <w:r w:rsidRPr="009418B8">
              <w:rPr>
                <w:rFonts w:ascii="Calibri" w:hAnsi="Calibri"/>
                <w:color w:val="000000"/>
                <w:sz w:val="18"/>
                <w:szCs w:val="18"/>
                <w:lang w:eastAsia="pt-BR"/>
              </w:rPr>
              <w:t> </w:t>
            </w:r>
          </w:p>
        </w:tc>
        <w:tc>
          <w:tcPr>
            <w:tcW w:w="1080" w:type="dxa"/>
            <w:tcBorders>
              <w:top w:val="nil"/>
              <w:left w:val="nil"/>
              <w:bottom w:val="nil"/>
              <w:right w:val="nil"/>
            </w:tcBorders>
            <w:shd w:val="clear" w:color="000000" w:fill="FFFFFF"/>
            <w:noWrap/>
            <w:vAlign w:val="center"/>
            <w:hideMark/>
          </w:tcPr>
          <w:p w:rsidR="009418B8" w:rsidRPr="009418B8" w:rsidRDefault="009418B8" w:rsidP="009418B8">
            <w:pPr>
              <w:spacing w:after="0" w:line="240" w:lineRule="auto"/>
              <w:jc w:val="right"/>
              <w:rPr>
                <w:rFonts w:ascii="Calibri" w:hAnsi="Calibri"/>
                <w:color w:val="000000"/>
                <w:sz w:val="18"/>
                <w:szCs w:val="18"/>
                <w:lang w:eastAsia="pt-BR"/>
              </w:rPr>
            </w:pPr>
            <w:r w:rsidRPr="009418B8">
              <w:rPr>
                <w:rFonts w:ascii="Calibri" w:hAnsi="Calibri"/>
                <w:color w:val="000000"/>
                <w:sz w:val="18"/>
                <w:szCs w:val="18"/>
                <w:lang w:eastAsia="pt-BR"/>
              </w:rPr>
              <w:t> </w:t>
            </w:r>
          </w:p>
        </w:tc>
        <w:tc>
          <w:tcPr>
            <w:tcW w:w="1120" w:type="dxa"/>
            <w:tcBorders>
              <w:top w:val="nil"/>
              <w:left w:val="nil"/>
              <w:bottom w:val="nil"/>
              <w:right w:val="nil"/>
            </w:tcBorders>
            <w:shd w:val="clear" w:color="000000" w:fill="FFFFFF"/>
            <w:noWrap/>
            <w:vAlign w:val="center"/>
            <w:hideMark/>
          </w:tcPr>
          <w:p w:rsidR="009418B8" w:rsidRPr="009418B8" w:rsidRDefault="009418B8" w:rsidP="009418B8">
            <w:pPr>
              <w:spacing w:after="0" w:line="240" w:lineRule="auto"/>
              <w:jc w:val="right"/>
              <w:rPr>
                <w:rFonts w:ascii="Calibri" w:hAnsi="Calibri"/>
                <w:color w:val="000000"/>
                <w:sz w:val="18"/>
                <w:szCs w:val="18"/>
                <w:lang w:eastAsia="pt-BR"/>
              </w:rPr>
            </w:pPr>
            <w:r w:rsidRPr="009418B8">
              <w:rPr>
                <w:rFonts w:ascii="Calibri" w:hAnsi="Calibri"/>
                <w:color w:val="000000"/>
                <w:sz w:val="18"/>
                <w:szCs w:val="18"/>
                <w:lang w:eastAsia="pt-BR"/>
              </w:rPr>
              <w:t> </w:t>
            </w:r>
          </w:p>
        </w:tc>
      </w:tr>
      <w:tr w:rsidR="009418B8" w:rsidRPr="009418B8" w:rsidTr="009418B8">
        <w:trPr>
          <w:trHeight w:val="300"/>
          <w:jc w:val="center"/>
        </w:trPr>
        <w:tc>
          <w:tcPr>
            <w:tcW w:w="5920" w:type="dxa"/>
            <w:tcBorders>
              <w:top w:val="nil"/>
              <w:left w:val="nil"/>
              <w:bottom w:val="nil"/>
              <w:right w:val="nil"/>
            </w:tcBorders>
            <w:shd w:val="clear" w:color="000000" w:fill="FFFFFF"/>
            <w:vAlign w:val="bottom"/>
            <w:hideMark/>
          </w:tcPr>
          <w:p w:rsidR="009418B8" w:rsidRPr="009418B8" w:rsidRDefault="009418B8" w:rsidP="009418B8">
            <w:pPr>
              <w:spacing w:after="0" w:line="240" w:lineRule="auto"/>
              <w:jc w:val="left"/>
              <w:rPr>
                <w:rFonts w:ascii="Calibri" w:hAnsi="Calibri"/>
                <w:color w:val="000000"/>
                <w:sz w:val="18"/>
                <w:szCs w:val="18"/>
                <w:lang w:eastAsia="pt-BR"/>
              </w:rPr>
            </w:pPr>
            <w:r w:rsidRPr="009418B8">
              <w:rPr>
                <w:rFonts w:ascii="Calibri" w:hAnsi="Calibri"/>
                <w:color w:val="000000"/>
                <w:sz w:val="18"/>
                <w:szCs w:val="18"/>
                <w:lang w:eastAsia="pt-BR"/>
              </w:rPr>
              <w:t>Ações com retorno histórico acima do Ibovespa</w:t>
            </w:r>
          </w:p>
        </w:tc>
        <w:tc>
          <w:tcPr>
            <w:tcW w:w="1080" w:type="dxa"/>
            <w:tcBorders>
              <w:top w:val="nil"/>
              <w:left w:val="nil"/>
              <w:bottom w:val="nil"/>
              <w:right w:val="nil"/>
            </w:tcBorders>
            <w:shd w:val="clear" w:color="000000" w:fill="FFFFFF"/>
            <w:noWrap/>
            <w:vAlign w:val="center"/>
            <w:hideMark/>
          </w:tcPr>
          <w:p w:rsidR="009418B8" w:rsidRPr="009418B8" w:rsidRDefault="009418B8" w:rsidP="005A1607">
            <w:pPr>
              <w:spacing w:after="0" w:line="240" w:lineRule="auto"/>
              <w:jc w:val="right"/>
              <w:rPr>
                <w:rFonts w:ascii="Calibri" w:hAnsi="Calibri"/>
                <w:color w:val="000000"/>
                <w:sz w:val="18"/>
                <w:szCs w:val="18"/>
                <w:lang w:eastAsia="pt-BR"/>
              </w:rPr>
            </w:pPr>
            <w:r w:rsidRPr="009418B8">
              <w:rPr>
                <w:rFonts w:ascii="Calibri" w:hAnsi="Calibri"/>
                <w:color w:val="000000"/>
                <w:sz w:val="18"/>
                <w:szCs w:val="18"/>
                <w:lang w:eastAsia="pt-BR"/>
              </w:rPr>
              <w:t>2</w:t>
            </w:r>
            <w:r w:rsidR="005A1607">
              <w:rPr>
                <w:rFonts w:ascii="Calibri" w:hAnsi="Calibri"/>
                <w:color w:val="000000"/>
                <w:sz w:val="18"/>
                <w:szCs w:val="18"/>
                <w:lang w:eastAsia="pt-BR"/>
              </w:rPr>
              <w:t>1</w:t>
            </w:r>
          </w:p>
        </w:tc>
        <w:tc>
          <w:tcPr>
            <w:tcW w:w="1120" w:type="dxa"/>
            <w:tcBorders>
              <w:top w:val="nil"/>
              <w:left w:val="nil"/>
              <w:bottom w:val="nil"/>
              <w:right w:val="nil"/>
            </w:tcBorders>
            <w:shd w:val="clear" w:color="000000" w:fill="FFFFFF"/>
            <w:noWrap/>
            <w:vAlign w:val="center"/>
            <w:hideMark/>
          </w:tcPr>
          <w:p w:rsidR="009418B8" w:rsidRPr="009418B8" w:rsidRDefault="00D14503" w:rsidP="00EA10E9">
            <w:pPr>
              <w:spacing w:after="0" w:line="240" w:lineRule="auto"/>
              <w:jc w:val="right"/>
              <w:rPr>
                <w:rFonts w:ascii="Calibri" w:hAnsi="Calibri"/>
                <w:color w:val="000000"/>
                <w:sz w:val="18"/>
                <w:szCs w:val="18"/>
                <w:lang w:eastAsia="pt-BR"/>
              </w:rPr>
            </w:pPr>
            <w:r>
              <w:rPr>
                <w:rFonts w:ascii="Calibri" w:hAnsi="Calibri"/>
                <w:color w:val="000000"/>
                <w:sz w:val="18"/>
                <w:szCs w:val="18"/>
                <w:lang w:eastAsia="pt-BR"/>
              </w:rPr>
              <w:t>4</w:t>
            </w:r>
            <w:r w:rsidR="00EA10E9">
              <w:rPr>
                <w:rFonts w:ascii="Calibri" w:hAnsi="Calibri"/>
                <w:color w:val="000000"/>
                <w:sz w:val="18"/>
                <w:szCs w:val="18"/>
                <w:lang w:eastAsia="pt-BR"/>
              </w:rPr>
              <w:t>8</w:t>
            </w:r>
            <w:r>
              <w:rPr>
                <w:rFonts w:ascii="Calibri" w:hAnsi="Calibri"/>
                <w:color w:val="000000"/>
                <w:sz w:val="18"/>
                <w:szCs w:val="18"/>
                <w:lang w:eastAsia="pt-BR"/>
              </w:rPr>
              <w:t>,</w:t>
            </w:r>
            <w:r w:rsidR="00EA10E9">
              <w:rPr>
                <w:rFonts w:ascii="Calibri" w:hAnsi="Calibri"/>
                <w:color w:val="000000"/>
                <w:sz w:val="18"/>
                <w:szCs w:val="18"/>
                <w:lang w:eastAsia="pt-BR"/>
              </w:rPr>
              <w:t>8</w:t>
            </w:r>
            <w:r w:rsidR="009418B8" w:rsidRPr="009418B8">
              <w:rPr>
                <w:rFonts w:ascii="Calibri" w:hAnsi="Calibri"/>
                <w:color w:val="000000"/>
                <w:sz w:val="18"/>
                <w:szCs w:val="18"/>
                <w:lang w:eastAsia="pt-BR"/>
              </w:rPr>
              <w:t>%</w:t>
            </w:r>
          </w:p>
        </w:tc>
      </w:tr>
      <w:tr w:rsidR="009418B8" w:rsidRPr="009418B8" w:rsidTr="009418B8">
        <w:trPr>
          <w:trHeight w:val="300"/>
          <w:jc w:val="center"/>
        </w:trPr>
        <w:tc>
          <w:tcPr>
            <w:tcW w:w="5920" w:type="dxa"/>
            <w:tcBorders>
              <w:top w:val="nil"/>
              <w:left w:val="nil"/>
              <w:bottom w:val="nil"/>
              <w:right w:val="nil"/>
            </w:tcBorders>
            <w:shd w:val="clear" w:color="000000" w:fill="FFFFFF"/>
            <w:vAlign w:val="bottom"/>
            <w:hideMark/>
          </w:tcPr>
          <w:p w:rsidR="009418B8" w:rsidRPr="009418B8" w:rsidRDefault="009418B8" w:rsidP="009418B8">
            <w:pPr>
              <w:spacing w:after="0" w:line="240" w:lineRule="auto"/>
              <w:jc w:val="left"/>
              <w:rPr>
                <w:rFonts w:ascii="Calibri" w:hAnsi="Calibri"/>
                <w:color w:val="000000"/>
                <w:sz w:val="18"/>
                <w:szCs w:val="18"/>
                <w:lang w:eastAsia="pt-BR"/>
              </w:rPr>
            </w:pPr>
            <w:r w:rsidRPr="009418B8">
              <w:rPr>
                <w:rFonts w:ascii="Calibri" w:hAnsi="Calibri"/>
                <w:color w:val="000000"/>
                <w:sz w:val="18"/>
                <w:szCs w:val="18"/>
                <w:lang w:eastAsia="pt-BR"/>
              </w:rPr>
              <w:t>Ações com retorno histórico abaixo do Ibovespa</w:t>
            </w:r>
          </w:p>
        </w:tc>
        <w:tc>
          <w:tcPr>
            <w:tcW w:w="1080" w:type="dxa"/>
            <w:tcBorders>
              <w:top w:val="nil"/>
              <w:left w:val="nil"/>
              <w:bottom w:val="nil"/>
              <w:right w:val="nil"/>
            </w:tcBorders>
            <w:shd w:val="clear" w:color="000000" w:fill="FFFFFF"/>
            <w:noWrap/>
            <w:vAlign w:val="center"/>
            <w:hideMark/>
          </w:tcPr>
          <w:p w:rsidR="009418B8" w:rsidRPr="009418B8" w:rsidRDefault="009418B8" w:rsidP="009418B8">
            <w:pPr>
              <w:spacing w:after="0" w:line="240" w:lineRule="auto"/>
              <w:jc w:val="right"/>
              <w:rPr>
                <w:rFonts w:ascii="Calibri" w:hAnsi="Calibri"/>
                <w:color w:val="000000"/>
                <w:sz w:val="18"/>
                <w:szCs w:val="18"/>
                <w:lang w:eastAsia="pt-BR"/>
              </w:rPr>
            </w:pPr>
            <w:r w:rsidRPr="009418B8">
              <w:rPr>
                <w:rFonts w:ascii="Calibri" w:hAnsi="Calibri"/>
                <w:color w:val="000000"/>
                <w:sz w:val="18"/>
                <w:szCs w:val="18"/>
                <w:lang w:eastAsia="pt-BR"/>
              </w:rPr>
              <w:t>22</w:t>
            </w:r>
          </w:p>
        </w:tc>
        <w:tc>
          <w:tcPr>
            <w:tcW w:w="1120" w:type="dxa"/>
            <w:tcBorders>
              <w:top w:val="nil"/>
              <w:left w:val="nil"/>
              <w:bottom w:val="nil"/>
              <w:right w:val="nil"/>
            </w:tcBorders>
            <w:shd w:val="clear" w:color="000000" w:fill="FFFFFF"/>
            <w:noWrap/>
            <w:vAlign w:val="center"/>
            <w:hideMark/>
          </w:tcPr>
          <w:p w:rsidR="009418B8" w:rsidRPr="009418B8" w:rsidRDefault="00EA10E9" w:rsidP="00EA10E9">
            <w:pPr>
              <w:spacing w:after="0" w:line="240" w:lineRule="auto"/>
              <w:jc w:val="right"/>
              <w:rPr>
                <w:rFonts w:ascii="Calibri" w:hAnsi="Calibri"/>
                <w:color w:val="000000"/>
                <w:sz w:val="18"/>
                <w:szCs w:val="18"/>
                <w:lang w:eastAsia="pt-BR"/>
              </w:rPr>
            </w:pPr>
            <w:r>
              <w:rPr>
                <w:rFonts w:ascii="Calibri" w:hAnsi="Calibri"/>
                <w:color w:val="000000"/>
                <w:sz w:val="18"/>
                <w:szCs w:val="18"/>
                <w:lang w:eastAsia="pt-BR"/>
              </w:rPr>
              <w:t>51</w:t>
            </w:r>
            <w:r w:rsidR="00D14503">
              <w:rPr>
                <w:rFonts w:ascii="Calibri" w:hAnsi="Calibri"/>
                <w:color w:val="000000"/>
                <w:sz w:val="18"/>
                <w:szCs w:val="18"/>
                <w:lang w:eastAsia="pt-BR"/>
              </w:rPr>
              <w:t>,</w:t>
            </w:r>
            <w:r>
              <w:rPr>
                <w:rFonts w:ascii="Calibri" w:hAnsi="Calibri"/>
                <w:color w:val="000000"/>
                <w:sz w:val="18"/>
                <w:szCs w:val="18"/>
                <w:lang w:eastAsia="pt-BR"/>
              </w:rPr>
              <w:t>2</w:t>
            </w:r>
            <w:r w:rsidR="009418B8" w:rsidRPr="009418B8">
              <w:rPr>
                <w:rFonts w:ascii="Calibri" w:hAnsi="Calibri"/>
                <w:color w:val="000000"/>
                <w:sz w:val="18"/>
                <w:szCs w:val="18"/>
                <w:lang w:eastAsia="pt-BR"/>
              </w:rPr>
              <w:t>%</w:t>
            </w:r>
          </w:p>
        </w:tc>
      </w:tr>
      <w:tr w:rsidR="009418B8" w:rsidRPr="009418B8" w:rsidTr="009418B8">
        <w:trPr>
          <w:trHeight w:val="300"/>
          <w:jc w:val="center"/>
        </w:trPr>
        <w:tc>
          <w:tcPr>
            <w:tcW w:w="5920" w:type="dxa"/>
            <w:tcBorders>
              <w:top w:val="nil"/>
              <w:left w:val="nil"/>
              <w:bottom w:val="nil"/>
              <w:right w:val="nil"/>
            </w:tcBorders>
            <w:shd w:val="clear" w:color="000000" w:fill="FFFFFF"/>
            <w:vAlign w:val="bottom"/>
            <w:hideMark/>
          </w:tcPr>
          <w:p w:rsidR="009418B8" w:rsidRPr="009418B8" w:rsidRDefault="009418B8" w:rsidP="009418B8">
            <w:pPr>
              <w:spacing w:after="0" w:line="240" w:lineRule="auto"/>
              <w:jc w:val="left"/>
              <w:rPr>
                <w:rFonts w:ascii="Calibri" w:hAnsi="Calibri"/>
                <w:color w:val="000000"/>
                <w:sz w:val="18"/>
                <w:szCs w:val="18"/>
                <w:lang w:eastAsia="pt-BR"/>
              </w:rPr>
            </w:pPr>
            <w:r w:rsidRPr="009418B8">
              <w:rPr>
                <w:rFonts w:ascii="Calibri" w:hAnsi="Calibri"/>
                <w:color w:val="000000"/>
                <w:sz w:val="18"/>
                <w:szCs w:val="18"/>
                <w:lang w:eastAsia="pt-BR"/>
              </w:rPr>
              <w:t> </w:t>
            </w:r>
          </w:p>
        </w:tc>
        <w:tc>
          <w:tcPr>
            <w:tcW w:w="1080" w:type="dxa"/>
            <w:tcBorders>
              <w:top w:val="nil"/>
              <w:left w:val="nil"/>
              <w:bottom w:val="nil"/>
              <w:right w:val="nil"/>
            </w:tcBorders>
            <w:shd w:val="clear" w:color="000000" w:fill="FFFFFF"/>
            <w:noWrap/>
            <w:vAlign w:val="center"/>
            <w:hideMark/>
          </w:tcPr>
          <w:p w:rsidR="009418B8" w:rsidRPr="009418B8" w:rsidRDefault="009418B8" w:rsidP="009418B8">
            <w:pPr>
              <w:spacing w:after="0" w:line="240" w:lineRule="auto"/>
              <w:jc w:val="right"/>
              <w:rPr>
                <w:rFonts w:ascii="Calibri" w:hAnsi="Calibri"/>
                <w:color w:val="000000"/>
                <w:sz w:val="18"/>
                <w:szCs w:val="18"/>
                <w:lang w:eastAsia="pt-BR"/>
              </w:rPr>
            </w:pPr>
            <w:r w:rsidRPr="009418B8">
              <w:rPr>
                <w:rFonts w:ascii="Calibri" w:hAnsi="Calibri"/>
                <w:color w:val="000000"/>
                <w:sz w:val="18"/>
                <w:szCs w:val="18"/>
                <w:lang w:eastAsia="pt-BR"/>
              </w:rPr>
              <w:t> </w:t>
            </w:r>
          </w:p>
        </w:tc>
        <w:tc>
          <w:tcPr>
            <w:tcW w:w="1120" w:type="dxa"/>
            <w:tcBorders>
              <w:top w:val="nil"/>
              <w:left w:val="nil"/>
              <w:bottom w:val="nil"/>
              <w:right w:val="nil"/>
            </w:tcBorders>
            <w:shd w:val="clear" w:color="000000" w:fill="FFFFFF"/>
            <w:noWrap/>
            <w:vAlign w:val="center"/>
            <w:hideMark/>
          </w:tcPr>
          <w:p w:rsidR="009418B8" w:rsidRPr="009418B8" w:rsidRDefault="009418B8" w:rsidP="009418B8">
            <w:pPr>
              <w:spacing w:after="0" w:line="240" w:lineRule="auto"/>
              <w:jc w:val="right"/>
              <w:rPr>
                <w:rFonts w:ascii="Calibri" w:hAnsi="Calibri"/>
                <w:color w:val="000000"/>
                <w:sz w:val="18"/>
                <w:szCs w:val="18"/>
                <w:lang w:eastAsia="pt-BR"/>
              </w:rPr>
            </w:pPr>
            <w:r w:rsidRPr="009418B8">
              <w:rPr>
                <w:rFonts w:ascii="Calibri" w:hAnsi="Calibri"/>
                <w:color w:val="000000"/>
                <w:sz w:val="18"/>
                <w:szCs w:val="18"/>
                <w:lang w:eastAsia="pt-BR"/>
              </w:rPr>
              <w:t> </w:t>
            </w:r>
          </w:p>
        </w:tc>
      </w:tr>
      <w:tr w:rsidR="009418B8" w:rsidRPr="009418B8" w:rsidTr="009418B8">
        <w:trPr>
          <w:trHeight w:val="300"/>
          <w:jc w:val="center"/>
        </w:trPr>
        <w:tc>
          <w:tcPr>
            <w:tcW w:w="5920" w:type="dxa"/>
            <w:tcBorders>
              <w:top w:val="nil"/>
              <w:left w:val="nil"/>
              <w:bottom w:val="nil"/>
              <w:right w:val="nil"/>
            </w:tcBorders>
            <w:shd w:val="clear" w:color="000000" w:fill="FFFFFF"/>
            <w:vAlign w:val="bottom"/>
            <w:hideMark/>
          </w:tcPr>
          <w:p w:rsidR="009418B8" w:rsidRPr="009418B8" w:rsidRDefault="009418B8" w:rsidP="009418B8">
            <w:pPr>
              <w:spacing w:after="0" w:line="240" w:lineRule="auto"/>
              <w:jc w:val="left"/>
              <w:rPr>
                <w:rFonts w:ascii="Calibri" w:hAnsi="Calibri"/>
                <w:color w:val="000000"/>
                <w:sz w:val="18"/>
                <w:szCs w:val="18"/>
                <w:lang w:eastAsia="pt-BR"/>
              </w:rPr>
            </w:pPr>
            <w:r w:rsidRPr="009418B8">
              <w:rPr>
                <w:rFonts w:ascii="Calibri" w:hAnsi="Calibri"/>
                <w:color w:val="000000"/>
                <w:sz w:val="18"/>
                <w:szCs w:val="18"/>
                <w:lang w:eastAsia="pt-BR"/>
              </w:rPr>
              <w:t>Participação acima da média e retorno da ação acima do Ibovespa</w:t>
            </w:r>
          </w:p>
        </w:tc>
        <w:tc>
          <w:tcPr>
            <w:tcW w:w="1080" w:type="dxa"/>
            <w:tcBorders>
              <w:top w:val="nil"/>
              <w:left w:val="nil"/>
              <w:bottom w:val="nil"/>
              <w:right w:val="nil"/>
            </w:tcBorders>
            <w:shd w:val="clear" w:color="000000" w:fill="FFFFFF"/>
            <w:noWrap/>
            <w:vAlign w:val="center"/>
            <w:hideMark/>
          </w:tcPr>
          <w:p w:rsidR="009418B8" w:rsidRPr="009418B8" w:rsidRDefault="009418B8" w:rsidP="009418B8">
            <w:pPr>
              <w:spacing w:after="0" w:line="240" w:lineRule="auto"/>
              <w:jc w:val="right"/>
              <w:rPr>
                <w:rFonts w:ascii="Calibri" w:hAnsi="Calibri"/>
                <w:color w:val="000000"/>
                <w:sz w:val="18"/>
                <w:szCs w:val="18"/>
                <w:lang w:eastAsia="pt-BR"/>
              </w:rPr>
            </w:pPr>
            <w:r w:rsidRPr="009418B8">
              <w:rPr>
                <w:rFonts w:ascii="Calibri" w:hAnsi="Calibri"/>
                <w:color w:val="000000"/>
                <w:sz w:val="18"/>
                <w:szCs w:val="18"/>
                <w:lang w:eastAsia="pt-BR"/>
              </w:rPr>
              <w:t>9</w:t>
            </w:r>
          </w:p>
        </w:tc>
        <w:tc>
          <w:tcPr>
            <w:tcW w:w="1120" w:type="dxa"/>
            <w:tcBorders>
              <w:top w:val="nil"/>
              <w:left w:val="nil"/>
              <w:bottom w:val="nil"/>
              <w:right w:val="nil"/>
            </w:tcBorders>
            <w:shd w:val="clear" w:color="000000" w:fill="FFFFFF"/>
            <w:noWrap/>
            <w:vAlign w:val="center"/>
            <w:hideMark/>
          </w:tcPr>
          <w:p w:rsidR="009418B8" w:rsidRPr="009418B8" w:rsidRDefault="00EA10E9" w:rsidP="009418B8">
            <w:pPr>
              <w:spacing w:after="0" w:line="240" w:lineRule="auto"/>
              <w:jc w:val="right"/>
              <w:rPr>
                <w:rFonts w:ascii="Calibri" w:hAnsi="Calibri"/>
                <w:color w:val="000000"/>
                <w:sz w:val="18"/>
                <w:szCs w:val="18"/>
                <w:lang w:eastAsia="pt-BR"/>
              </w:rPr>
            </w:pPr>
            <w:r>
              <w:rPr>
                <w:rFonts w:ascii="Calibri" w:hAnsi="Calibri"/>
                <w:color w:val="000000"/>
                <w:sz w:val="18"/>
                <w:szCs w:val="18"/>
                <w:lang w:eastAsia="pt-BR"/>
              </w:rPr>
              <w:t>37,5</w:t>
            </w:r>
            <w:r w:rsidR="009418B8" w:rsidRPr="009418B8">
              <w:rPr>
                <w:rFonts w:ascii="Calibri" w:hAnsi="Calibri"/>
                <w:color w:val="000000"/>
                <w:sz w:val="18"/>
                <w:szCs w:val="18"/>
                <w:lang w:eastAsia="pt-BR"/>
              </w:rPr>
              <w:t>%</w:t>
            </w:r>
          </w:p>
        </w:tc>
      </w:tr>
      <w:tr w:rsidR="009418B8" w:rsidRPr="009418B8" w:rsidTr="009418B8">
        <w:trPr>
          <w:trHeight w:val="300"/>
          <w:jc w:val="center"/>
        </w:trPr>
        <w:tc>
          <w:tcPr>
            <w:tcW w:w="5920" w:type="dxa"/>
            <w:tcBorders>
              <w:top w:val="nil"/>
              <w:left w:val="nil"/>
              <w:bottom w:val="nil"/>
              <w:right w:val="nil"/>
            </w:tcBorders>
            <w:shd w:val="clear" w:color="000000" w:fill="FFFFFF"/>
            <w:vAlign w:val="bottom"/>
            <w:hideMark/>
          </w:tcPr>
          <w:p w:rsidR="009418B8" w:rsidRPr="009418B8" w:rsidRDefault="009418B8" w:rsidP="009418B8">
            <w:pPr>
              <w:spacing w:after="0" w:line="240" w:lineRule="auto"/>
              <w:jc w:val="left"/>
              <w:rPr>
                <w:rFonts w:ascii="Calibri" w:hAnsi="Calibri"/>
                <w:color w:val="000000"/>
                <w:sz w:val="18"/>
                <w:szCs w:val="18"/>
                <w:lang w:eastAsia="pt-BR"/>
              </w:rPr>
            </w:pPr>
            <w:r w:rsidRPr="009418B8">
              <w:rPr>
                <w:rFonts w:ascii="Calibri" w:hAnsi="Calibri"/>
                <w:color w:val="000000"/>
                <w:sz w:val="18"/>
                <w:szCs w:val="18"/>
                <w:lang w:eastAsia="pt-BR"/>
              </w:rPr>
              <w:t>Participação abaixo da média e retorno da ação abaixo do Ibovespa</w:t>
            </w:r>
          </w:p>
        </w:tc>
        <w:tc>
          <w:tcPr>
            <w:tcW w:w="1080" w:type="dxa"/>
            <w:tcBorders>
              <w:top w:val="nil"/>
              <w:left w:val="nil"/>
              <w:bottom w:val="nil"/>
              <w:right w:val="nil"/>
            </w:tcBorders>
            <w:shd w:val="clear" w:color="000000" w:fill="FFFFFF"/>
            <w:noWrap/>
            <w:vAlign w:val="center"/>
            <w:hideMark/>
          </w:tcPr>
          <w:p w:rsidR="009418B8" w:rsidRPr="009418B8" w:rsidRDefault="009418B8" w:rsidP="005A1607">
            <w:pPr>
              <w:spacing w:after="0" w:line="240" w:lineRule="auto"/>
              <w:jc w:val="right"/>
              <w:rPr>
                <w:rFonts w:ascii="Calibri" w:hAnsi="Calibri"/>
                <w:color w:val="000000"/>
                <w:sz w:val="18"/>
                <w:szCs w:val="18"/>
                <w:lang w:eastAsia="pt-BR"/>
              </w:rPr>
            </w:pPr>
            <w:r w:rsidRPr="009418B8">
              <w:rPr>
                <w:rFonts w:ascii="Calibri" w:hAnsi="Calibri"/>
                <w:color w:val="000000"/>
                <w:sz w:val="18"/>
                <w:szCs w:val="18"/>
                <w:lang w:eastAsia="pt-BR"/>
              </w:rPr>
              <w:t>1</w:t>
            </w:r>
            <w:r w:rsidR="005A1607">
              <w:rPr>
                <w:rFonts w:ascii="Calibri" w:hAnsi="Calibri"/>
                <w:color w:val="000000"/>
                <w:sz w:val="18"/>
                <w:szCs w:val="18"/>
                <w:lang w:eastAsia="pt-BR"/>
              </w:rPr>
              <w:t>5</w:t>
            </w:r>
          </w:p>
        </w:tc>
        <w:tc>
          <w:tcPr>
            <w:tcW w:w="1120" w:type="dxa"/>
            <w:tcBorders>
              <w:top w:val="nil"/>
              <w:left w:val="nil"/>
              <w:bottom w:val="nil"/>
              <w:right w:val="nil"/>
            </w:tcBorders>
            <w:shd w:val="clear" w:color="000000" w:fill="FFFFFF"/>
            <w:noWrap/>
            <w:vAlign w:val="center"/>
            <w:hideMark/>
          </w:tcPr>
          <w:p w:rsidR="009418B8" w:rsidRPr="009418B8" w:rsidRDefault="00EA10E9" w:rsidP="009418B8">
            <w:pPr>
              <w:spacing w:after="0" w:line="240" w:lineRule="auto"/>
              <w:jc w:val="right"/>
              <w:rPr>
                <w:rFonts w:ascii="Calibri" w:hAnsi="Calibri"/>
                <w:color w:val="000000"/>
                <w:sz w:val="18"/>
                <w:szCs w:val="18"/>
                <w:lang w:eastAsia="pt-BR"/>
              </w:rPr>
            </w:pPr>
            <w:r>
              <w:rPr>
                <w:rFonts w:ascii="Calibri" w:hAnsi="Calibri"/>
                <w:color w:val="000000"/>
                <w:sz w:val="18"/>
                <w:szCs w:val="18"/>
                <w:lang w:eastAsia="pt-BR"/>
              </w:rPr>
              <w:t>62,5</w:t>
            </w:r>
            <w:r w:rsidR="009418B8" w:rsidRPr="009418B8">
              <w:rPr>
                <w:rFonts w:ascii="Calibri" w:hAnsi="Calibri"/>
                <w:color w:val="000000"/>
                <w:sz w:val="18"/>
                <w:szCs w:val="18"/>
                <w:lang w:eastAsia="pt-BR"/>
              </w:rPr>
              <w:t>%</w:t>
            </w:r>
          </w:p>
        </w:tc>
      </w:tr>
      <w:tr w:rsidR="009418B8" w:rsidRPr="009418B8" w:rsidTr="00FF5B42">
        <w:trPr>
          <w:trHeight w:val="300"/>
          <w:jc w:val="center"/>
        </w:trPr>
        <w:tc>
          <w:tcPr>
            <w:tcW w:w="5920" w:type="dxa"/>
            <w:tcBorders>
              <w:top w:val="nil"/>
              <w:left w:val="nil"/>
              <w:right w:val="nil"/>
            </w:tcBorders>
            <w:shd w:val="clear" w:color="000000" w:fill="FFFFFF"/>
            <w:vAlign w:val="bottom"/>
            <w:hideMark/>
          </w:tcPr>
          <w:p w:rsidR="009418B8" w:rsidRPr="009418B8" w:rsidRDefault="009418B8" w:rsidP="009418B8">
            <w:pPr>
              <w:spacing w:after="0" w:line="240" w:lineRule="auto"/>
              <w:jc w:val="left"/>
              <w:rPr>
                <w:rFonts w:ascii="Calibri" w:hAnsi="Calibri"/>
                <w:b/>
                <w:color w:val="000000"/>
                <w:sz w:val="18"/>
                <w:szCs w:val="18"/>
                <w:lang w:eastAsia="pt-BR"/>
              </w:rPr>
            </w:pPr>
          </w:p>
        </w:tc>
        <w:tc>
          <w:tcPr>
            <w:tcW w:w="1080" w:type="dxa"/>
            <w:tcBorders>
              <w:top w:val="nil"/>
              <w:left w:val="nil"/>
              <w:right w:val="nil"/>
            </w:tcBorders>
            <w:shd w:val="clear" w:color="000000" w:fill="FFFFFF"/>
            <w:noWrap/>
            <w:vAlign w:val="center"/>
            <w:hideMark/>
          </w:tcPr>
          <w:p w:rsidR="009418B8" w:rsidRPr="009418B8" w:rsidRDefault="009418B8" w:rsidP="009418B8">
            <w:pPr>
              <w:spacing w:after="0" w:line="240" w:lineRule="auto"/>
              <w:jc w:val="right"/>
              <w:rPr>
                <w:rFonts w:ascii="Calibri" w:hAnsi="Calibri"/>
                <w:b/>
                <w:color w:val="000000"/>
                <w:sz w:val="18"/>
                <w:szCs w:val="18"/>
                <w:lang w:eastAsia="pt-BR"/>
              </w:rPr>
            </w:pPr>
          </w:p>
        </w:tc>
        <w:tc>
          <w:tcPr>
            <w:tcW w:w="1120" w:type="dxa"/>
            <w:tcBorders>
              <w:top w:val="nil"/>
              <w:left w:val="nil"/>
              <w:right w:val="nil"/>
            </w:tcBorders>
            <w:shd w:val="clear" w:color="000000" w:fill="FFFFFF"/>
            <w:noWrap/>
            <w:vAlign w:val="center"/>
            <w:hideMark/>
          </w:tcPr>
          <w:p w:rsidR="009418B8" w:rsidRPr="009418B8" w:rsidRDefault="009418B8" w:rsidP="009418B8">
            <w:pPr>
              <w:spacing w:after="0" w:line="240" w:lineRule="auto"/>
              <w:jc w:val="right"/>
              <w:rPr>
                <w:rFonts w:ascii="Calibri" w:hAnsi="Calibri"/>
                <w:b/>
                <w:color w:val="000000"/>
                <w:sz w:val="18"/>
                <w:szCs w:val="18"/>
                <w:lang w:eastAsia="pt-BR"/>
              </w:rPr>
            </w:pPr>
          </w:p>
        </w:tc>
      </w:tr>
      <w:tr w:rsidR="009418B8" w:rsidRPr="009418B8" w:rsidTr="00FF5B42">
        <w:trPr>
          <w:trHeight w:val="300"/>
          <w:jc w:val="center"/>
        </w:trPr>
        <w:tc>
          <w:tcPr>
            <w:tcW w:w="5920" w:type="dxa"/>
            <w:tcBorders>
              <w:top w:val="nil"/>
              <w:left w:val="nil"/>
              <w:bottom w:val="double" w:sz="4" w:space="0" w:color="auto"/>
              <w:right w:val="nil"/>
            </w:tcBorders>
            <w:shd w:val="clear" w:color="000000" w:fill="FFFFFF"/>
            <w:vAlign w:val="bottom"/>
            <w:hideMark/>
          </w:tcPr>
          <w:p w:rsidR="009418B8" w:rsidRPr="009418B8" w:rsidRDefault="009418B8" w:rsidP="009418B8">
            <w:pPr>
              <w:spacing w:after="0" w:line="240" w:lineRule="auto"/>
              <w:jc w:val="left"/>
              <w:rPr>
                <w:rFonts w:ascii="Calibri" w:hAnsi="Calibri"/>
                <w:b/>
                <w:color w:val="000000"/>
                <w:sz w:val="18"/>
                <w:szCs w:val="18"/>
                <w:lang w:eastAsia="pt-BR"/>
              </w:rPr>
            </w:pPr>
            <w:r w:rsidRPr="009418B8">
              <w:rPr>
                <w:rFonts w:ascii="Calibri" w:hAnsi="Calibri"/>
                <w:b/>
                <w:color w:val="000000"/>
                <w:sz w:val="18"/>
                <w:szCs w:val="18"/>
                <w:lang w:eastAsia="pt-BR"/>
              </w:rPr>
              <w:t>Investidores com participação acima/abaixo da média vs Retorno histórico da ação acima/abaixo do Ibovespa</w:t>
            </w:r>
          </w:p>
        </w:tc>
        <w:tc>
          <w:tcPr>
            <w:tcW w:w="1080" w:type="dxa"/>
            <w:tcBorders>
              <w:top w:val="nil"/>
              <w:left w:val="nil"/>
              <w:bottom w:val="double" w:sz="4" w:space="0" w:color="auto"/>
              <w:right w:val="nil"/>
            </w:tcBorders>
            <w:shd w:val="clear" w:color="000000" w:fill="FFFFFF"/>
            <w:noWrap/>
            <w:vAlign w:val="center"/>
            <w:hideMark/>
          </w:tcPr>
          <w:p w:rsidR="009418B8" w:rsidRPr="009418B8" w:rsidRDefault="009418B8" w:rsidP="009418B8">
            <w:pPr>
              <w:spacing w:after="0" w:line="240" w:lineRule="auto"/>
              <w:jc w:val="right"/>
              <w:rPr>
                <w:rFonts w:ascii="Calibri" w:hAnsi="Calibri"/>
                <w:b/>
                <w:color w:val="000000"/>
                <w:sz w:val="18"/>
                <w:szCs w:val="18"/>
                <w:lang w:eastAsia="pt-BR"/>
              </w:rPr>
            </w:pPr>
            <w:r w:rsidRPr="009418B8">
              <w:rPr>
                <w:rFonts w:ascii="Calibri" w:hAnsi="Calibri"/>
                <w:b/>
                <w:color w:val="000000"/>
                <w:sz w:val="18"/>
                <w:szCs w:val="18"/>
                <w:lang w:eastAsia="pt-BR"/>
              </w:rPr>
              <w:t>2</w:t>
            </w:r>
            <w:r w:rsidR="005A1607">
              <w:rPr>
                <w:rFonts w:ascii="Calibri" w:hAnsi="Calibri"/>
                <w:b/>
                <w:color w:val="000000"/>
                <w:sz w:val="18"/>
                <w:szCs w:val="18"/>
                <w:lang w:eastAsia="pt-BR"/>
              </w:rPr>
              <w:t>4</w:t>
            </w:r>
          </w:p>
        </w:tc>
        <w:tc>
          <w:tcPr>
            <w:tcW w:w="1120" w:type="dxa"/>
            <w:tcBorders>
              <w:top w:val="nil"/>
              <w:left w:val="nil"/>
              <w:bottom w:val="double" w:sz="4" w:space="0" w:color="auto"/>
              <w:right w:val="nil"/>
            </w:tcBorders>
            <w:shd w:val="clear" w:color="000000" w:fill="FFFFFF"/>
            <w:noWrap/>
            <w:vAlign w:val="center"/>
            <w:hideMark/>
          </w:tcPr>
          <w:p w:rsidR="009418B8" w:rsidRPr="009418B8" w:rsidRDefault="00D14503" w:rsidP="00EA10E9">
            <w:pPr>
              <w:spacing w:after="0" w:line="240" w:lineRule="auto"/>
              <w:jc w:val="right"/>
              <w:rPr>
                <w:rFonts w:ascii="Calibri" w:hAnsi="Calibri"/>
                <w:b/>
                <w:color w:val="000000"/>
                <w:sz w:val="18"/>
                <w:szCs w:val="18"/>
                <w:lang w:eastAsia="pt-BR"/>
              </w:rPr>
            </w:pPr>
            <w:r>
              <w:rPr>
                <w:rFonts w:ascii="Calibri" w:hAnsi="Calibri"/>
                <w:b/>
                <w:color w:val="000000"/>
                <w:sz w:val="18"/>
                <w:szCs w:val="18"/>
                <w:lang w:eastAsia="pt-BR"/>
              </w:rPr>
              <w:t>5</w:t>
            </w:r>
            <w:r w:rsidR="00EA10E9">
              <w:rPr>
                <w:rFonts w:ascii="Calibri" w:hAnsi="Calibri"/>
                <w:b/>
                <w:color w:val="000000"/>
                <w:sz w:val="18"/>
                <w:szCs w:val="18"/>
                <w:lang w:eastAsia="pt-BR"/>
              </w:rPr>
              <w:t>5,8</w:t>
            </w:r>
            <w:r w:rsidR="009418B8" w:rsidRPr="009418B8">
              <w:rPr>
                <w:rFonts w:ascii="Calibri" w:hAnsi="Calibri"/>
                <w:b/>
                <w:color w:val="000000"/>
                <w:sz w:val="18"/>
                <w:szCs w:val="18"/>
                <w:lang w:eastAsia="pt-BR"/>
              </w:rPr>
              <w:t>%</w:t>
            </w:r>
          </w:p>
        </w:tc>
      </w:tr>
    </w:tbl>
    <w:p w:rsidR="00FF5B42" w:rsidRDefault="00FF5B42" w:rsidP="00FF5B42">
      <w:pPr>
        <w:rPr>
          <w:rFonts w:ascii="Arial" w:hAnsi="Arial" w:cs="Arial"/>
          <w:sz w:val="24"/>
        </w:rPr>
      </w:pPr>
      <w:r>
        <w:rPr>
          <w:rFonts w:ascii="Calibri" w:hAnsi="Calibri" w:cs="Calibri"/>
          <w:color w:val="000000"/>
          <w:sz w:val="16"/>
          <w:szCs w:val="16"/>
          <w:lang w:eastAsia="pt-BR"/>
        </w:rPr>
        <w:t xml:space="preserve"> </w:t>
      </w:r>
      <w:r w:rsidR="009418B8">
        <w:rPr>
          <w:rFonts w:ascii="Calibri" w:hAnsi="Calibri" w:cs="Calibri"/>
          <w:color w:val="000000"/>
          <w:sz w:val="16"/>
          <w:szCs w:val="16"/>
          <w:lang w:eastAsia="pt-BR"/>
        </w:rPr>
        <w:tab/>
      </w:r>
      <w:r>
        <w:rPr>
          <w:rFonts w:ascii="Calibri" w:hAnsi="Calibri" w:cs="Calibri"/>
          <w:color w:val="000000"/>
          <w:sz w:val="16"/>
          <w:szCs w:val="16"/>
          <w:lang w:eastAsia="pt-BR"/>
        </w:rPr>
        <w:t xml:space="preserve"> </w:t>
      </w:r>
      <w:r w:rsidRPr="0047042E">
        <w:rPr>
          <w:rFonts w:ascii="Arial" w:hAnsi="Arial" w:cs="Arial"/>
          <w:sz w:val="16"/>
          <w:szCs w:val="18"/>
        </w:rPr>
        <w:t>Fonte: Dados da amostra</w:t>
      </w:r>
    </w:p>
    <w:p w:rsidR="00502AB8" w:rsidRDefault="00843ECE" w:rsidP="00502AB8">
      <w:pPr>
        <w:ind w:firstLine="708"/>
        <w:rPr>
          <w:rFonts w:ascii="Arial" w:hAnsi="Arial" w:cs="Arial"/>
          <w:sz w:val="24"/>
        </w:rPr>
      </w:pPr>
      <w:r w:rsidRPr="00620D5F">
        <w:rPr>
          <w:rFonts w:ascii="Arial" w:hAnsi="Arial" w:cs="Arial"/>
          <w:sz w:val="24"/>
        </w:rPr>
        <w:t xml:space="preserve">Tais dados apresentados, nos mostram </w:t>
      </w:r>
      <w:r w:rsidR="00620D5F" w:rsidRPr="00620D5F">
        <w:rPr>
          <w:rFonts w:ascii="Arial" w:hAnsi="Arial" w:cs="Arial"/>
          <w:sz w:val="24"/>
        </w:rPr>
        <w:t xml:space="preserve">que os investidores da nossa amostra que trabalham em alguma empresa de capital aberto levam em consideração o retorno </w:t>
      </w:r>
      <w:r w:rsidR="00EA10E9">
        <w:rPr>
          <w:rFonts w:ascii="Arial" w:hAnsi="Arial" w:cs="Arial"/>
          <w:sz w:val="24"/>
        </w:rPr>
        <w:t>histórico da ação, pois 24</w:t>
      </w:r>
      <w:r w:rsidR="00620D5F" w:rsidRPr="00620D5F">
        <w:rPr>
          <w:rFonts w:ascii="Arial" w:hAnsi="Arial" w:cs="Arial"/>
          <w:sz w:val="24"/>
        </w:rPr>
        <w:t xml:space="preserve"> (5</w:t>
      </w:r>
      <w:r w:rsidR="00EA10E9">
        <w:rPr>
          <w:rFonts w:ascii="Arial" w:hAnsi="Arial" w:cs="Arial"/>
          <w:sz w:val="24"/>
        </w:rPr>
        <w:t>5</w:t>
      </w:r>
      <w:r w:rsidR="00620D5F" w:rsidRPr="00620D5F">
        <w:rPr>
          <w:rFonts w:ascii="Arial" w:hAnsi="Arial" w:cs="Arial"/>
          <w:sz w:val="24"/>
        </w:rPr>
        <w:t>,</w:t>
      </w:r>
      <w:r w:rsidR="00EA10E9">
        <w:rPr>
          <w:rFonts w:ascii="Arial" w:hAnsi="Arial" w:cs="Arial"/>
          <w:sz w:val="24"/>
        </w:rPr>
        <w:t>8</w:t>
      </w:r>
      <w:r w:rsidR="00620D5F" w:rsidRPr="00620D5F">
        <w:rPr>
          <w:rFonts w:ascii="Arial" w:hAnsi="Arial" w:cs="Arial"/>
          <w:sz w:val="24"/>
        </w:rPr>
        <w:t>%) deles estão de acordo com o retorno da ação se comparado com o retorno histórico do Ibovespa.</w:t>
      </w:r>
      <w:r w:rsidR="000C2D95">
        <w:rPr>
          <w:rFonts w:ascii="Arial" w:hAnsi="Arial" w:cs="Arial"/>
          <w:sz w:val="24"/>
        </w:rPr>
        <w:t xml:space="preserve"> </w:t>
      </w:r>
    </w:p>
    <w:p w:rsidR="000C2D95" w:rsidRDefault="000C2D95" w:rsidP="00502AB8">
      <w:pPr>
        <w:ind w:firstLine="708"/>
        <w:rPr>
          <w:rFonts w:ascii="Arial" w:hAnsi="Arial" w:cs="Arial"/>
          <w:sz w:val="24"/>
        </w:rPr>
      </w:pPr>
      <w:r>
        <w:rPr>
          <w:rFonts w:ascii="Arial" w:hAnsi="Arial" w:cs="Arial"/>
          <w:sz w:val="24"/>
        </w:rPr>
        <w:t>Estes resultados de participação das ações no portfólio também podem ser decorrentes da própria valorização das ações, indica</w:t>
      </w:r>
      <w:r w:rsidR="00332179">
        <w:rPr>
          <w:rFonts w:ascii="Arial" w:hAnsi="Arial" w:cs="Arial"/>
          <w:sz w:val="24"/>
        </w:rPr>
        <w:t>ndo</w:t>
      </w:r>
      <w:r>
        <w:rPr>
          <w:rFonts w:ascii="Arial" w:hAnsi="Arial" w:cs="Arial"/>
          <w:sz w:val="24"/>
        </w:rPr>
        <w:t xml:space="preserve"> que o</w:t>
      </w:r>
      <w:r w:rsidR="00332179">
        <w:rPr>
          <w:rFonts w:ascii="Arial" w:hAnsi="Arial" w:cs="Arial"/>
          <w:sz w:val="24"/>
        </w:rPr>
        <w:t>s</w:t>
      </w:r>
      <w:r>
        <w:rPr>
          <w:rFonts w:ascii="Arial" w:hAnsi="Arial" w:cs="Arial"/>
          <w:sz w:val="24"/>
        </w:rPr>
        <w:t xml:space="preserve"> investidor</w:t>
      </w:r>
      <w:r w:rsidR="00332179">
        <w:rPr>
          <w:rFonts w:ascii="Arial" w:hAnsi="Arial" w:cs="Arial"/>
          <w:sz w:val="24"/>
        </w:rPr>
        <w:t>es</w:t>
      </w:r>
      <w:r>
        <w:rPr>
          <w:rFonts w:ascii="Arial" w:hAnsi="Arial" w:cs="Arial"/>
          <w:sz w:val="24"/>
        </w:rPr>
        <w:t xml:space="preserve"> poderia</w:t>
      </w:r>
      <w:r w:rsidR="00332179">
        <w:rPr>
          <w:rFonts w:ascii="Arial" w:hAnsi="Arial" w:cs="Arial"/>
          <w:sz w:val="24"/>
        </w:rPr>
        <w:t>m</w:t>
      </w:r>
      <w:r>
        <w:rPr>
          <w:rFonts w:ascii="Arial" w:hAnsi="Arial" w:cs="Arial"/>
          <w:sz w:val="24"/>
        </w:rPr>
        <w:t xml:space="preserve"> não </w:t>
      </w:r>
      <w:r w:rsidR="00585CBE">
        <w:rPr>
          <w:rFonts w:ascii="Arial" w:hAnsi="Arial" w:cs="Arial"/>
          <w:sz w:val="24"/>
        </w:rPr>
        <w:t xml:space="preserve">estar </w:t>
      </w:r>
      <w:r>
        <w:rPr>
          <w:rFonts w:ascii="Arial" w:hAnsi="Arial" w:cs="Arial"/>
          <w:sz w:val="24"/>
        </w:rPr>
        <w:t>faze</w:t>
      </w:r>
      <w:r w:rsidR="00585CBE">
        <w:rPr>
          <w:rFonts w:ascii="Arial" w:hAnsi="Arial" w:cs="Arial"/>
          <w:sz w:val="24"/>
        </w:rPr>
        <w:t>ndo o re</w:t>
      </w:r>
      <w:r w:rsidR="008D437F">
        <w:rPr>
          <w:rFonts w:ascii="Arial" w:hAnsi="Arial" w:cs="Arial"/>
          <w:sz w:val="24"/>
        </w:rPr>
        <w:t>ba</w:t>
      </w:r>
      <w:r w:rsidR="00585CBE">
        <w:rPr>
          <w:rFonts w:ascii="Arial" w:hAnsi="Arial" w:cs="Arial"/>
          <w:sz w:val="24"/>
        </w:rPr>
        <w:t>la</w:t>
      </w:r>
      <w:r w:rsidR="008D437F">
        <w:rPr>
          <w:rFonts w:ascii="Arial" w:hAnsi="Arial" w:cs="Arial"/>
          <w:sz w:val="24"/>
        </w:rPr>
        <w:t>n</w:t>
      </w:r>
      <w:r w:rsidR="00585CBE">
        <w:rPr>
          <w:rFonts w:ascii="Arial" w:hAnsi="Arial" w:cs="Arial"/>
          <w:sz w:val="24"/>
        </w:rPr>
        <w:t>ceamento dos</w:t>
      </w:r>
      <w:r w:rsidR="00332179">
        <w:rPr>
          <w:rFonts w:ascii="Arial" w:hAnsi="Arial" w:cs="Arial"/>
          <w:sz w:val="24"/>
        </w:rPr>
        <w:t xml:space="preserve"> </w:t>
      </w:r>
      <w:r>
        <w:rPr>
          <w:rFonts w:ascii="Arial" w:hAnsi="Arial" w:cs="Arial"/>
          <w:sz w:val="24"/>
        </w:rPr>
        <w:t>seu</w:t>
      </w:r>
      <w:r w:rsidR="00332179">
        <w:rPr>
          <w:rFonts w:ascii="Arial" w:hAnsi="Arial" w:cs="Arial"/>
          <w:sz w:val="24"/>
        </w:rPr>
        <w:t>s</w:t>
      </w:r>
      <w:r>
        <w:rPr>
          <w:rFonts w:ascii="Arial" w:hAnsi="Arial" w:cs="Arial"/>
          <w:sz w:val="24"/>
        </w:rPr>
        <w:t xml:space="preserve"> portfólio</w:t>
      </w:r>
      <w:r w:rsidR="00332179">
        <w:rPr>
          <w:rFonts w:ascii="Arial" w:hAnsi="Arial" w:cs="Arial"/>
          <w:sz w:val="24"/>
        </w:rPr>
        <w:t>s</w:t>
      </w:r>
      <w:r>
        <w:rPr>
          <w:rFonts w:ascii="Arial" w:hAnsi="Arial" w:cs="Arial"/>
          <w:sz w:val="24"/>
        </w:rPr>
        <w:t xml:space="preserve">. </w:t>
      </w:r>
    </w:p>
    <w:p w:rsidR="000C2D95" w:rsidRDefault="000C2D95" w:rsidP="00DB67D1">
      <w:pPr>
        <w:rPr>
          <w:rFonts w:ascii="Arial" w:hAnsi="Arial" w:cs="Arial"/>
          <w:b/>
          <w:sz w:val="24"/>
        </w:rPr>
      </w:pPr>
    </w:p>
    <w:p w:rsidR="000C2D95" w:rsidRDefault="000C2D95" w:rsidP="00DB67D1">
      <w:pPr>
        <w:rPr>
          <w:rFonts w:ascii="Arial" w:hAnsi="Arial" w:cs="Arial"/>
          <w:b/>
          <w:sz w:val="24"/>
        </w:rPr>
      </w:pPr>
    </w:p>
    <w:p w:rsidR="000C2D95" w:rsidRDefault="000C2D95" w:rsidP="00DB67D1">
      <w:pPr>
        <w:rPr>
          <w:rFonts w:ascii="Arial" w:hAnsi="Arial" w:cs="Arial"/>
          <w:b/>
          <w:sz w:val="24"/>
        </w:rPr>
      </w:pPr>
    </w:p>
    <w:p w:rsidR="006828BF" w:rsidRPr="00D9668F" w:rsidRDefault="005E1691" w:rsidP="00DB67D1">
      <w:pPr>
        <w:rPr>
          <w:rFonts w:ascii="Arial" w:hAnsi="Arial" w:cs="Arial"/>
          <w:b/>
          <w:sz w:val="24"/>
        </w:rPr>
      </w:pPr>
      <w:r>
        <w:rPr>
          <w:rFonts w:ascii="Arial" w:hAnsi="Arial" w:cs="Arial"/>
          <w:b/>
          <w:sz w:val="24"/>
        </w:rPr>
        <w:lastRenderedPageBreak/>
        <w:t>5</w:t>
      </w:r>
      <w:r w:rsidR="00C73AB8">
        <w:rPr>
          <w:rFonts w:ascii="Arial" w:hAnsi="Arial" w:cs="Arial"/>
          <w:b/>
          <w:sz w:val="24"/>
        </w:rPr>
        <w:t>.</w:t>
      </w:r>
      <w:r w:rsidR="00DE1FC0">
        <w:rPr>
          <w:rFonts w:ascii="Arial" w:hAnsi="Arial" w:cs="Arial"/>
          <w:b/>
          <w:sz w:val="24"/>
        </w:rPr>
        <w:t xml:space="preserve"> </w:t>
      </w:r>
      <w:r w:rsidR="00405E89">
        <w:rPr>
          <w:rFonts w:ascii="Arial" w:hAnsi="Arial" w:cs="Arial"/>
          <w:b/>
          <w:sz w:val="24"/>
        </w:rPr>
        <w:t>CONCL</w:t>
      </w:r>
      <w:r w:rsidR="0078259E">
        <w:rPr>
          <w:rFonts w:ascii="Arial" w:hAnsi="Arial" w:cs="Arial"/>
          <w:b/>
          <w:sz w:val="24"/>
        </w:rPr>
        <w:t>US</w:t>
      </w:r>
      <w:r w:rsidR="00405E89">
        <w:rPr>
          <w:rFonts w:ascii="Arial" w:hAnsi="Arial" w:cs="Arial"/>
          <w:b/>
          <w:sz w:val="24"/>
        </w:rPr>
        <w:t>ÕES FINAIS</w:t>
      </w:r>
    </w:p>
    <w:p w:rsidR="00A01EF9" w:rsidRDefault="00B14145" w:rsidP="00C924B4">
      <w:pPr>
        <w:ind w:firstLine="708"/>
        <w:rPr>
          <w:rFonts w:ascii="Arial" w:hAnsi="Arial" w:cs="Arial"/>
          <w:sz w:val="24"/>
        </w:rPr>
      </w:pPr>
      <w:r w:rsidRPr="00D9668F">
        <w:rPr>
          <w:rFonts w:ascii="Arial" w:hAnsi="Arial" w:cs="Arial"/>
          <w:sz w:val="24"/>
        </w:rPr>
        <w:t>O artigo mostrou uma análise dos</w:t>
      </w:r>
      <w:r w:rsidR="00A01EF9">
        <w:rPr>
          <w:rFonts w:ascii="Arial" w:hAnsi="Arial" w:cs="Arial"/>
          <w:sz w:val="24"/>
        </w:rPr>
        <w:t xml:space="preserve"> portfólios de </w:t>
      </w:r>
      <w:r w:rsidR="00BE6FEE">
        <w:rPr>
          <w:rFonts w:ascii="Arial" w:hAnsi="Arial" w:cs="Arial"/>
          <w:sz w:val="24"/>
        </w:rPr>
        <w:t>investidores</w:t>
      </w:r>
      <w:r w:rsidR="00A01EF9">
        <w:rPr>
          <w:rFonts w:ascii="Arial" w:hAnsi="Arial" w:cs="Arial"/>
          <w:sz w:val="24"/>
        </w:rPr>
        <w:t xml:space="preserve"> que trabalham em empresas de capital aberto e principalmente da participação que esta</w:t>
      </w:r>
      <w:r w:rsidR="002059F2">
        <w:rPr>
          <w:rFonts w:ascii="Arial" w:hAnsi="Arial" w:cs="Arial"/>
          <w:sz w:val="24"/>
        </w:rPr>
        <w:t>s</w:t>
      </w:r>
      <w:r w:rsidR="00A01EF9">
        <w:rPr>
          <w:rFonts w:ascii="Arial" w:hAnsi="Arial" w:cs="Arial"/>
          <w:sz w:val="24"/>
        </w:rPr>
        <w:t xml:space="preserve"> ações poss</w:t>
      </w:r>
      <w:r w:rsidR="00585CBE">
        <w:rPr>
          <w:rFonts w:ascii="Arial" w:hAnsi="Arial" w:cs="Arial"/>
          <w:sz w:val="24"/>
        </w:rPr>
        <w:t>uem no portfólio destes</w:t>
      </w:r>
      <w:r w:rsidR="00A01EF9">
        <w:rPr>
          <w:rFonts w:ascii="Arial" w:hAnsi="Arial" w:cs="Arial"/>
          <w:sz w:val="24"/>
        </w:rPr>
        <w:t>.</w:t>
      </w:r>
    </w:p>
    <w:p w:rsidR="002059F2" w:rsidRDefault="00BE6FEE" w:rsidP="00C924B4">
      <w:pPr>
        <w:ind w:firstLine="708"/>
        <w:rPr>
          <w:rFonts w:ascii="Arial" w:hAnsi="Arial" w:cs="Arial"/>
          <w:sz w:val="24"/>
        </w:rPr>
      </w:pPr>
      <w:r>
        <w:rPr>
          <w:rFonts w:ascii="Arial" w:hAnsi="Arial" w:cs="Arial"/>
          <w:sz w:val="24"/>
        </w:rPr>
        <w:t xml:space="preserve">Constatou-se que os </w:t>
      </w:r>
      <w:r w:rsidR="00585CBE">
        <w:rPr>
          <w:rFonts w:ascii="Arial" w:hAnsi="Arial" w:cs="Arial"/>
          <w:sz w:val="24"/>
        </w:rPr>
        <w:t>funcionários</w:t>
      </w:r>
      <w:r w:rsidR="00A01EF9">
        <w:rPr>
          <w:rFonts w:ascii="Arial" w:hAnsi="Arial" w:cs="Arial"/>
          <w:sz w:val="24"/>
        </w:rPr>
        <w:t xml:space="preserve"> investem sim </w:t>
      </w:r>
      <w:r w:rsidR="002059F2">
        <w:rPr>
          <w:rFonts w:ascii="Arial" w:hAnsi="Arial" w:cs="Arial"/>
          <w:sz w:val="24"/>
        </w:rPr>
        <w:t>em ações das empresas onde trabalham e</w:t>
      </w:r>
      <w:r w:rsidR="00585CBE">
        <w:rPr>
          <w:rFonts w:ascii="Arial" w:hAnsi="Arial" w:cs="Arial"/>
          <w:sz w:val="24"/>
        </w:rPr>
        <w:t>,</w:t>
      </w:r>
      <w:r w:rsidR="002059F2">
        <w:rPr>
          <w:rFonts w:ascii="Arial" w:hAnsi="Arial" w:cs="Arial"/>
          <w:sz w:val="24"/>
        </w:rPr>
        <w:t xml:space="preserve"> na sua maioria, estes percentuais</w:t>
      </w:r>
      <w:r w:rsidR="003D3DF7">
        <w:rPr>
          <w:rFonts w:ascii="Arial" w:hAnsi="Arial" w:cs="Arial"/>
          <w:sz w:val="24"/>
        </w:rPr>
        <w:t xml:space="preserve"> </w:t>
      </w:r>
      <w:r w:rsidR="002059F2">
        <w:rPr>
          <w:rFonts w:ascii="Arial" w:hAnsi="Arial" w:cs="Arial"/>
          <w:sz w:val="24"/>
        </w:rPr>
        <w:t xml:space="preserve">são </w:t>
      </w:r>
      <w:r w:rsidR="00A01EF9">
        <w:rPr>
          <w:rFonts w:ascii="Arial" w:hAnsi="Arial" w:cs="Arial"/>
          <w:sz w:val="24"/>
        </w:rPr>
        <w:t>maior</w:t>
      </w:r>
      <w:r w:rsidR="002059F2">
        <w:rPr>
          <w:rFonts w:ascii="Arial" w:hAnsi="Arial" w:cs="Arial"/>
          <w:sz w:val="24"/>
        </w:rPr>
        <w:t>es</w:t>
      </w:r>
      <w:r w:rsidR="00A01EF9">
        <w:rPr>
          <w:rFonts w:ascii="Arial" w:hAnsi="Arial" w:cs="Arial"/>
          <w:sz w:val="24"/>
        </w:rPr>
        <w:t xml:space="preserve"> do que nas demais empresas</w:t>
      </w:r>
      <w:r w:rsidR="002059F2">
        <w:rPr>
          <w:rFonts w:ascii="Arial" w:hAnsi="Arial" w:cs="Arial"/>
          <w:sz w:val="24"/>
        </w:rPr>
        <w:t xml:space="preserve"> em que </w:t>
      </w:r>
      <w:r w:rsidR="008D437F">
        <w:rPr>
          <w:rFonts w:ascii="Arial" w:hAnsi="Arial" w:cs="Arial"/>
          <w:sz w:val="24"/>
        </w:rPr>
        <w:t>investem</w:t>
      </w:r>
      <w:r w:rsidR="002059F2">
        <w:rPr>
          <w:rFonts w:ascii="Arial" w:hAnsi="Arial" w:cs="Arial"/>
          <w:sz w:val="24"/>
        </w:rPr>
        <w:t xml:space="preserve"> o que vem em linha com Huberman (</w:t>
      </w:r>
      <w:r w:rsidR="00EB4C6A">
        <w:rPr>
          <w:rFonts w:ascii="Arial" w:hAnsi="Arial" w:cs="Arial"/>
          <w:sz w:val="24"/>
        </w:rPr>
        <w:t>1999</w:t>
      </w:r>
      <w:r w:rsidR="002059F2">
        <w:rPr>
          <w:rFonts w:ascii="Arial" w:hAnsi="Arial" w:cs="Arial"/>
          <w:sz w:val="24"/>
        </w:rPr>
        <w:t>)</w:t>
      </w:r>
      <w:r w:rsidR="00A01EF9">
        <w:rPr>
          <w:rFonts w:ascii="Arial" w:hAnsi="Arial" w:cs="Arial"/>
          <w:sz w:val="24"/>
        </w:rPr>
        <w:t>.</w:t>
      </w:r>
    </w:p>
    <w:p w:rsidR="00BE6FEE" w:rsidRDefault="00A01EF9" w:rsidP="00C924B4">
      <w:pPr>
        <w:ind w:firstLine="708"/>
        <w:rPr>
          <w:rFonts w:ascii="Arial" w:hAnsi="Arial" w:cs="Arial"/>
          <w:sz w:val="24"/>
        </w:rPr>
      </w:pPr>
      <w:r>
        <w:rPr>
          <w:rFonts w:ascii="Arial" w:hAnsi="Arial" w:cs="Arial"/>
          <w:sz w:val="24"/>
        </w:rPr>
        <w:t xml:space="preserve"> Além diss</w:t>
      </w:r>
      <w:r w:rsidR="00D63ED0">
        <w:rPr>
          <w:rFonts w:ascii="Arial" w:hAnsi="Arial" w:cs="Arial"/>
          <w:sz w:val="24"/>
        </w:rPr>
        <w:t>o, os</w:t>
      </w:r>
      <w:r w:rsidR="003D3DF7">
        <w:rPr>
          <w:rFonts w:ascii="Arial" w:hAnsi="Arial" w:cs="Arial"/>
          <w:sz w:val="24"/>
        </w:rPr>
        <w:t xml:space="preserve"> </w:t>
      </w:r>
      <w:r w:rsidR="00D63ED0">
        <w:rPr>
          <w:rFonts w:ascii="Arial" w:hAnsi="Arial" w:cs="Arial"/>
          <w:sz w:val="24"/>
        </w:rPr>
        <w:t>investidores</w:t>
      </w:r>
      <w:r w:rsidR="00BE6FEE">
        <w:rPr>
          <w:rFonts w:ascii="Arial" w:hAnsi="Arial" w:cs="Arial"/>
          <w:sz w:val="24"/>
        </w:rPr>
        <w:t xml:space="preserve"> que trabalham na empresa investem mais nestas empresas do que </w:t>
      </w:r>
      <w:r w:rsidR="00185BE1">
        <w:rPr>
          <w:rFonts w:ascii="Arial" w:hAnsi="Arial" w:cs="Arial"/>
          <w:sz w:val="24"/>
        </w:rPr>
        <w:t xml:space="preserve">os </w:t>
      </w:r>
      <w:r w:rsidR="00BE6FEE">
        <w:rPr>
          <w:rFonts w:ascii="Arial" w:hAnsi="Arial" w:cs="Arial"/>
          <w:sz w:val="24"/>
        </w:rPr>
        <w:t>invest</w:t>
      </w:r>
      <w:r w:rsidR="003D3DF7">
        <w:rPr>
          <w:rFonts w:ascii="Arial" w:hAnsi="Arial" w:cs="Arial"/>
          <w:sz w:val="24"/>
        </w:rPr>
        <w:t>idores que não trabalham, conforme constatado pelos diversos testes com a amostra e sub-amostras.</w:t>
      </w:r>
    </w:p>
    <w:p w:rsidR="003D3DF7" w:rsidRDefault="003D3DF7" w:rsidP="00C924B4">
      <w:pPr>
        <w:ind w:firstLine="708"/>
        <w:rPr>
          <w:rStyle w:val="Estilo11ptVermelho"/>
          <w:rFonts w:ascii="Arial" w:hAnsi="Arial" w:cs="Arial"/>
          <w:color w:val="auto"/>
          <w:sz w:val="24"/>
        </w:rPr>
      </w:pPr>
      <w:r>
        <w:rPr>
          <w:rFonts w:ascii="Arial" w:hAnsi="Arial" w:cs="Arial"/>
          <w:sz w:val="24"/>
        </w:rPr>
        <w:t>Por definição, t</w:t>
      </w:r>
      <w:r w:rsidR="00E05CF6">
        <w:rPr>
          <w:rFonts w:ascii="Arial" w:hAnsi="Arial" w:cs="Arial"/>
          <w:sz w:val="24"/>
        </w:rPr>
        <w:t xml:space="preserve">ambém vamos em linha com os autores </w:t>
      </w:r>
      <w:r w:rsidR="00E05CF6">
        <w:rPr>
          <w:rStyle w:val="Estilo11ptVermelho"/>
          <w:rFonts w:ascii="Arial" w:hAnsi="Arial" w:cs="Arial"/>
          <w:color w:val="auto"/>
          <w:sz w:val="24"/>
        </w:rPr>
        <w:t>[</w:t>
      </w:r>
      <w:r w:rsidR="00E05CF6" w:rsidRPr="00092E46">
        <w:rPr>
          <w:rStyle w:val="Estilo11ptVermelho"/>
          <w:rFonts w:ascii="Arial" w:hAnsi="Arial" w:cs="Arial"/>
          <w:color w:val="auto"/>
          <w:sz w:val="24"/>
        </w:rPr>
        <w:t>Cooper e Kaplains</w:t>
      </w:r>
      <w:r w:rsidR="00E05CF6">
        <w:rPr>
          <w:rStyle w:val="Estilo11ptVermelho"/>
          <w:rFonts w:ascii="Arial" w:hAnsi="Arial" w:cs="Arial"/>
          <w:color w:val="auto"/>
          <w:sz w:val="24"/>
        </w:rPr>
        <w:t>(1994),</w:t>
      </w:r>
      <w:r w:rsidR="00585CBE">
        <w:rPr>
          <w:rStyle w:val="Estilo11ptVermelho"/>
          <w:rFonts w:ascii="Arial" w:hAnsi="Arial" w:cs="Arial"/>
          <w:color w:val="auto"/>
          <w:sz w:val="24"/>
        </w:rPr>
        <w:t xml:space="preserve"> </w:t>
      </w:r>
      <w:r w:rsidR="00E05CF6" w:rsidRPr="00092E46">
        <w:rPr>
          <w:rStyle w:val="Estilo11ptVermelho"/>
          <w:rFonts w:ascii="Arial" w:hAnsi="Arial" w:cs="Arial"/>
          <w:color w:val="auto"/>
          <w:sz w:val="24"/>
        </w:rPr>
        <w:t>Kang e Stulz</w:t>
      </w:r>
      <w:r w:rsidR="00E05CF6">
        <w:rPr>
          <w:rStyle w:val="Estilo11ptVermelho"/>
          <w:rFonts w:ascii="Arial" w:hAnsi="Arial" w:cs="Arial"/>
          <w:color w:val="auto"/>
          <w:sz w:val="24"/>
        </w:rPr>
        <w:t xml:space="preserve"> (1996) e </w:t>
      </w:r>
      <w:r w:rsidR="00E05CF6" w:rsidRPr="00092E46">
        <w:rPr>
          <w:rStyle w:val="Estilo11ptVermelho"/>
          <w:rFonts w:ascii="Arial" w:hAnsi="Arial" w:cs="Arial"/>
          <w:color w:val="auto"/>
          <w:sz w:val="24"/>
        </w:rPr>
        <w:t>French e Porterba</w:t>
      </w:r>
      <w:r w:rsidR="00E05CF6">
        <w:rPr>
          <w:rStyle w:val="Estilo11ptVermelho"/>
          <w:rFonts w:ascii="Arial" w:hAnsi="Arial" w:cs="Arial"/>
          <w:color w:val="auto"/>
          <w:sz w:val="24"/>
        </w:rPr>
        <w:t xml:space="preserve"> (1991)], pois não encontramos nenhum ativo estrangeiro nos portfólios analisados</w:t>
      </w:r>
      <w:r>
        <w:rPr>
          <w:rStyle w:val="Estilo11ptVermelho"/>
          <w:rFonts w:ascii="Arial" w:hAnsi="Arial" w:cs="Arial"/>
          <w:color w:val="auto"/>
          <w:sz w:val="24"/>
        </w:rPr>
        <w:t>, uma vez que estes poderiam conter ativos estrangeiros listados na bolsa brasileira.</w:t>
      </w:r>
    </w:p>
    <w:p w:rsidR="002059F2" w:rsidRDefault="003D3DF7" w:rsidP="00C924B4">
      <w:pPr>
        <w:ind w:firstLine="708"/>
        <w:rPr>
          <w:rFonts w:ascii="Arial" w:hAnsi="Arial" w:cs="Arial"/>
          <w:sz w:val="24"/>
        </w:rPr>
      </w:pPr>
      <w:r>
        <w:rPr>
          <w:rFonts w:ascii="Arial" w:hAnsi="Arial" w:cs="Arial"/>
          <w:sz w:val="24"/>
        </w:rPr>
        <w:t xml:space="preserve"> </w:t>
      </w:r>
      <w:r w:rsidR="002059F2">
        <w:rPr>
          <w:rFonts w:ascii="Arial" w:hAnsi="Arial" w:cs="Arial"/>
          <w:sz w:val="24"/>
        </w:rPr>
        <w:t>Quando a amostra foi separa</w:t>
      </w:r>
      <w:r w:rsidR="00BF1FA5">
        <w:rPr>
          <w:rFonts w:ascii="Arial" w:hAnsi="Arial" w:cs="Arial"/>
          <w:sz w:val="24"/>
        </w:rPr>
        <w:t>da</w:t>
      </w:r>
      <w:r w:rsidR="002059F2">
        <w:rPr>
          <w:rFonts w:ascii="Arial" w:hAnsi="Arial" w:cs="Arial"/>
          <w:sz w:val="24"/>
        </w:rPr>
        <w:t xml:space="preserve"> pelo retorno histórico das ações em comparação ao Ibovespa, identif</w:t>
      </w:r>
      <w:r w:rsidR="00EB4C6A">
        <w:rPr>
          <w:rFonts w:ascii="Arial" w:hAnsi="Arial" w:cs="Arial"/>
          <w:sz w:val="24"/>
        </w:rPr>
        <w:t>icou-se, também em linha com Be</w:t>
      </w:r>
      <w:r w:rsidR="002059F2">
        <w:rPr>
          <w:rFonts w:ascii="Arial" w:hAnsi="Arial" w:cs="Arial"/>
          <w:sz w:val="24"/>
        </w:rPr>
        <w:t>nartzi (</w:t>
      </w:r>
      <w:r w:rsidR="00EB4C6A">
        <w:rPr>
          <w:rFonts w:ascii="Arial" w:hAnsi="Arial" w:cs="Arial"/>
          <w:sz w:val="24"/>
        </w:rPr>
        <w:t>2001</w:t>
      </w:r>
      <w:r w:rsidR="002059F2">
        <w:rPr>
          <w:rFonts w:ascii="Arial" w:hAnsi="Arial" w:cs="Arial"/>
          <w:sz w:val="24"/>
        </w:rPr>
        <w:t>), que os investidores que trabalham em empresas que tiveram um retorno acima do Ibovespa nos últimos 10 anos, possuem uma participação acima da média da amostra de investidores que trabalham em empresas de capital aberto. O contrário também foi identificado, com empresas que tiveram retornos abaixo do Ibovespa.</w:t>
      </w:r>
    </w:p>
    <w:p w:rsidR="003B25E0" w:rsidRPr="003B25E0" w:rsidRDefault="00E561F1" w:rsidP="003D3DF7">
      <w:pPr>
        <w:ind w:firstLine="708"/>
        <w:rPr>
          <w:rFonts w:ascii="Arial" w:hAnsi="Arial" w:cs="Arial"/>
          <w:color w:val="FF0000"/>
          <w:sz w:val="24"/>
        </w:rPr>
      </w:pPr>
      <w:r w:rsidRPr="00ED3FEA">
        <w:rPr>
          <w:rFonts w:ascii="Arial" w:hAnsi="Arial" w:cs="Arial"/>
          <w:sz w:val="24"/>
        </w:rPr>
        <w:t>Como sugestão para extensão do estudo</w:t>
      </w:r>
      <w:r w:rsidR="00A560C9">
        <w:rPr>
          <w:rFonts w:ascii="Arial" w:hAnsi="Arial" w:cs="Arial"/>
          <w:sz w:val="24"/>
        </w:rPr>
        <w:t>,</w:t>
      </w:r>
      <w:r w:rsidRPr="00ED3FEA">
        <w:rPr>
          <w:rFonts w:ascii="Arial" w:hAnsi="Arial" w:cs="Arial"/>
          <w:sz w:val="24"/>
        </w:rPr>
        <w:t xml:space="preserve"> temos que o teste </w:t>
      </w:r>
      <w:r w:rsidR="00ED3FEA" w:rsidRPr="00ED3FEA">
        <w:rPr>
          <w:rFonts w:ascii="Arial" w:hAnsi="Arial" w:cs="Arial"/>
          <w:sz w:val="24"/>
        </w:rPr>
        <w:t xml:space="preserve">de comparação de investimentos em relação ao histórico de retorno das ações </w:t>
      </w:r>
      <w:r w:rsidRPr="00ED3FEA">
        <w:rPr>
          <w:rFonts w:ascii="Arial" w:hAnsi="Arial" w:cs="Arial"/>
          <w:sz w:val="24"/>
        </w:rPr>
        <w:t xml:space="preserve">poderia ser refeito incluindo-se </w:t>
      </w:r>
      <w:r w:rsidR="00ED3FEA">
        <w:rPr>
          <w:rFonts w:ascii="Arial" w:hAnsi="Arial" w:cs="Arial"/>
          <w:sz w:val="24"/>
        </w:rPr>
        <w:t>o histórico de posições dos investidores ao invés de uma amostra única</w:t>
      </w:r>
      <w:r w:rsidR="003D3DF7">
        <w:rPr>
          <w:rFonts w:ascii="Arial" w:hAnsi="Arial" w:cs="Arial"/>
          <w:sz w:val="24"/>
        </w:rPr>
        <w:t>. Além disso, poderia ser testado se o retorno futuro está correlacionado com a proporção investida na empresa onde o investidor trabalha.</w:t>
      </w:r>
    </w:p>
    <w:p w:rsidR="003B25E0" w:rsidRPr="00D9668F" w:rsidRDefault="003B25E0" w:rsidP="00ED3FEA">
      <w:pPr>
        <w:ind w:firstLine="708"/>
        <w:rPr>
          <w:rFonts w:ascii="Arial" w:hAnsi="Arial" w:cs="Arial"/>
          <w:sz w:val="24"/>
        </w:rPr>
      </w:pPr>
    </w:p>
    <w:p w:rsidR="00A75933" w:rsidRPr="00ED3FEA" w:rsidRDefault="00A75933" w:rsidP="00DB67D1">
      <w:pPr>
        <w:rPr>
          <w:rFonts w:ascii="Arial" w:hAnsi="Arial" w:cs="Arial"/>
          <w:sz w:val="24"/>
        </w:rPr>
      </w:pPr>
    </w:p>
    <w:p w:rsidR="001539D3" w:rsidRDefault="001539D3" w:rsidP="00DB67D1">
      <w:pPr>
        <w:rPr>
          <w:rFonts w:ascii="Arial" w:hAnsi="Arial" w:cs="Arial"/>
          <w:b/>
          <w:sz w:val="24"/>
        </w:rPr>
      </w:pPr>
    </w:p>
    <w:p w:rsidR="00D9668F" w:rsidRPr="00D9668F" w:rsidRDefault="00D9668F" w:rsidP="00D9668F">
      <w:pPr>
        <w:spacing w:line="240" w:lineRule="auto"/>
        <w:rPr>
          <w:rFonts w:ascii="Arial" w:hAnsi="Arial" w:cs="Arial"/>
          <w:b/>
          <w:sz w:val="24"/>
        </w:rPr>
      </w:pPr>
      <w:r w:rsidRPr="00D9668F">
        <w:rPr>
          <w:rFonts w:ascii="Arial" w:hAnsi="Arial" w:cs="Arial"/>
          <w:b/>
          <w:sz w:val="24"/>
        </w:rPr>
        <w:lastRenderedPageBreak/>
        <w:t>BIBLIOGRAFIA</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AHEARNE, Alan G.; GRIEVER, William L.; WARNOCK, Francis E.. Information costs and home bias: an analysis of US holdings of foreign equities. Journal of International Economics, Volume 62, Issue 2, pp. 313-336, 2004.</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ALEXXEV, Vitali; TAPON, Francis. Equity Portfolio Diversification: How Many Stocks are Enough? Evidence from Five Developed Markets. FIRN Research Paper, 2012</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BARBER, Brad M.; ODEAN, Terrance. Boys will be Boys: Gender, Overconfidence, and Common Stock Investment. The Quarterly of Economics, 116 (1), pp. 261-292, 2001.</w:t>
      </w:r>
    </w:p>
    <w:p w:rsidR="00AF16A0" w:rsidRPr="00FF6C3A" w:rsidRDefault="00AF16A0" w:rsidP="00AF16A0">
      <w:pPr>
        <w:autoSpaceDE w:val="0"/>
        <w:autoSpaceDN w:val="0"/>
        <w:adjustRightInd w:val="0"/>
        <w:spacing w:line="240" w:lineRule="auto"/>
        <w:rPr>
          <w:rFonts w:ascii="Arial" w:eastAsia="Cambria" w:hAnsi="Arial" w:cs="Arial"/>
          <w:b/>
          <w:sz w:val="24"/>
        </w:rPr>
      </w:pPr>
      <w:r>
        <w:rPr>
          <w:rFonts w:ascii="Arial" w:eastAsia="Cambria" w:hAnsi="Arial" w:cs="Arial"/>
          <w:b/>
          <w:sz w:val="24"/>
          <w:lang w:val="en-US"/>
        </w:rPr>
        <w:t>BENARTZI, Shlomo; KAHNEMAN, Daniel; THALER, Richard.Optimism and Overconfidence in Asset Allocation Decisions.</w:t>
      </w:r>
      <w:r w:rsidRPr="00FF6C3A">
        <w:rPr>
          <w:rFonts w:ascii="Arial" w:eastAsia="Cambria" w:hAnsi="Arial" w:cs="Arial"/>
          <w:b/>
          <w:sz w:val="24"/>
        </w:rPr>
        <w:t>Disponível em &lt;http://www.behaviouralfinance.net/optimism/Morningstar_com%20Optimism%20and%20Overconfidence%20in%20Asset%20Allocation%20Decisions.htm&gt;, Abril 1990, acesso em 30/06/2015.</w:t>
      </w:r>
    </w:p>
    <w:p w:rsidR="00AF16A0" w:rsidRPr="00FF6C3A" w:rsidRDefault="00AF16A0" w:rsidP="00AF16A0">
      <w:pPr>
        <w:autoSpaceDE w:val="0"/>
        <w:autoSpaceDN w:val="0"/>
        <w:adjustRightInd w:val="0"/>
        <w:spacing w:line="240" w:lineRule="auto"/>
        <w:rPr>
          <w:rFonts w:ascii="Arial" w:eastAsia="Cambria" w:hAnsi="Arial" w:cs="Arial"/>
          <w:b/>
          <w:sz w:val="24"/>
        </w:rPr>
      </w:pPr>
      <w:r>
        <w:rPr>
          <w:rFonts w:ascii="Arial" w:eastAsia="Cambria" w:hAnsi="Arial" w:cs="Arial"/>
          <w:b/>
          <w:sz w:val="24"/>
          <w:lang w:val="en-US"/>
        </w:rPr>
        <w:t xml:space="preserve">BENARTZI, Shlomo. Excessive Extrapolation and the Allocation of 401(K) Accounts to Company Stock. </w:t>
      </w:r>
      <w:r w:rsidRPr="00FF6C3A">
        <w:rPr>
          <w:rFonts w:ascii="Arial" w:eastAsia="Cambria" w:hAnsi="Arial" w:cs="Arial"/>
          <w:b/>
          <w:sz w:val="24"/>
        </w:rPr>
        <w:t>The JournalofFinance, Volume 56, Issue 5, pp. 1747-1764, 2001.</w:t>
      </w:r>
    </w:p>
    <w:p w:rsidR="00AF16A0" w:rsidRPr="00FF6C3A" w:rsidRDefault="00AF16A0" w:rsidP="00AF16A0">
      <w:pPr>
        <w:autoSpaceDE w:val="0"/>
        <w:autoSpaceDN w:val="0"/>
        <w:adjustRightInd w:val="0"/>
        <w:spacing w:line="240" w:lineRule="auto"/>
        <w:rPr>
          <w:rFonts w:ascii="Arial" w:eastAsia="Cambria" w:hAnsi="Arial" w:cs="Arial"/>
          <w:b/>
          <w:sz w:val="24"/>
        </w:rPr>
      </w:pPr>
      <w:r w:rsidRPr="00FF6C3A">
        <w:rPr>
          <w:rFonts w:ascii="Arial" w:eastAsia="Cambria" w:hAnsi="Arial" w:cs="Arial"/>
          <w:b/>
          <w:sz w:val="24"/>
        </w:rPr>
        <w:t>BM&amp;FBOVESPA. Histórico de Pessoas Físicas. Disponível em &lt;http://www.bmfbovespa.com.br/pt-br/mercados/acoes.aspx?idioma=pt-br&gt;, Junho 2015, acesso em 30/06/2015.</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CHOI, James J.; LAIBSON, David; MADRIAN, Brigitte; METRICK, Andrew.Employees´ Investment Decisions about Company Stock.The National Bureau of Economic Research, No 10228, 2004.</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COEURDACIER, Nicolas; REY, Hélène. Home Bias in Open Economy Financial Macroeconomics. The National Bureau of Economic Research, No 17691, 2011.</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COHEN, Lauren. Loyalty-Based Portfolio Choice.The Review of Financial Studies, 22 (3), pp. 1213-1245, 2009.</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COOPER, Ian; KAPLANIS, Evi.Home Bias in Equity Portfolios, Inflation Hedging, and International Capital Market Equilibrium.The Review of Financial Studies, 7 (1), pp. 45-60, 1994.</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COVAL, Joshua D.; MOSKOWITZ, Tobias J.. The Geography of Investment: Informed Trading and Asset Prices. CRSP Working Paper, No 502, 1999.</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COVAL, Joshua D.; MOSKOWITZ, Tobias J. Home Bias at Home: Local Equity Preference in Domestic Portfolios. Journal of Finance, 54, 1999.</w:t>
      </w:r>
    </w:p>
    <w:p w:rsidR="00D9668F" w:rsidRPr="00FF6C3A" w:rsidRDefault="00CA7036" w:rsidP="00D9668F">
      <w:pPr>
        <w:autoSpaceDE w:val="0"/>
        <w:autoSpaceDN w:val="0"/>
        <w:adjustRightInd w:val="0"/>
        <w:spacing w:line="240" w:lineRule="auto"/>
        <w:rPr>
          <w:rFonts w:ascii="Arial" w:eastAsia="Cambria" w:hAnsi="Arial" w:cs="Arial"/>
          <w:b/>
          <w:sz w:val="24"/>
          <w:lang w:val="en-US"/>
        </w:rPr>
      </w:pPr>
      <w:r w:rsidRPr="00FF6C3A">
        <w:rPr>
          <w:rFonts w:ascii="Arial" w:eastAsia="Cambria" w:hAnsi="Arial" w:cs="Arial"/>
          <w:b/>
          <w:sz w:val="24"/>
          <w:lang w:val="en-US"/>
        </w:rPr>
        <w:t>DELLAVIGNA</w:t>
      </w:r>
      <w:r w:rsidR="00D9668F" w:rsidRPr="00FF6C3A">
        <w:rPr>
          <w:rFonts w:ascii="Arial" w:eastAsia="Cambria" w:hAnsi="Arial" w:cs="Arial"/>
          <w:b/>
          <w:sz w:val="24"/>
          <w:lang w:val="en-US"/>
        </w:rPr>
        <w:t>,</w:t>
      </w:r>
      <w:r w:rsidRPr="00FF6C3A">
        <w:rPr>
          <w:rFonts w:ascii="Arial" w:eastAsia="Cambria" w:hAnsi="Arial" w:cs="Arial"/>
          <w:b/>
          <w:sz w:val="24"/>
          <w:lang w:val="en-US"/>
        </w:rPr>
        <w:t xml:space="preserve"> Stefano</w:t>
      </w:r>
      <w:r w:rsidR="00D9668F" w:rsidRPr="00FF6C3A">
        <w:rPr>
          <w:rFonts w:ascii="Arial" w:eastAsia="Cambria" w:hAnsi="Arial" w:cs="Arial"/>
          <w:b/>
          <w:sz w:val="24"/>
          <w:lang w:val="en-US"/>
        </w:rPr>
        <w:t xml:space="preserve">. </w:t>
      </w:r>
      <w:r w:rsidRPr="00FF6C3A">
        <w:rPr>
          <w:rFonts w:ascii="Arial" w:eastAsia="Cambria" w:hAnsi="Arial" w:cs="Arial"/>
          <w:b/>
          <w:sz w:val="24"/>
          <w:lang w:val="en-US"/>
        </w:rPr>
        <w:t>Psychology and Economics: Evidence from the field</w:t>
      </w:r>
      <w:r w:rsidR="00D9668F" w:rsidRPr="00FF6C3A">
        <w:rPr>
          <w:rFonts w:ascii="Arial" w:eastAsia="Cambria" w:hAnsi="Arial" w:cs="Arial"/>
          <w:b/>
          <w:sz w:val="24"/>
          <w:lang w:val="en-US"/>
        </w:rPr>
        <w:t xml:space="preserve">. </w:t>
      </w:r>
      <w:r w:rsidRPr="00FF6C3A">
        <w:rPr>
          <w:rFonts w:ascii="Arial" w:eastAsia="Cambria" w:hAnsi="Arial" w:cs="Arial"/>
          <w:b/>
          <w:sz w:val="24"/>
          <w:lang w:val="en-US"/>
        </w:rPr>
        <w:t>Journal of Economic Literature</w:t>
      </w:r>
      <w:r w:rsidR="00D9668F" w:rsidRPr="00FF6C3A">
        <w:rPr>
          <w:rFonts w:ascii="Arial" w:eastAsia="Cambria" w:hAnsi="Arial" w:cs="Arial"/>
          <w:b/>
          <w:sz w:val="24"/>
          <w:lang w:val="en-US"/>
        </w:rPr>
        <w:t>,</w:t>
      </w:r>
      <w:r w:rsidRPr="00FF6C3A">
        <w:rPr>
          <w:rFonts w:ascii="Arial" w:eastAsia="Cambria" w:hAnsi="Arial" w:cs="Arial"/>
          <w:b/>
          <w:sz w:val="24"/>
          <w:lang w:val="en-US"/>
        </w:rPr>
        <w:t xml:space="preserve"> 47:2, </w:t>
      </w:r>
      <w:r w:rsidR="00434491" w:rsidRPr="00FF6C3A">
        <w:rPr>
          <w:rFonts w:ascii="Arial" w:eastAsia="Cambria" w:hAnsi="Arial" w:cs="Arial"/>
          <w:b/>
          <w:sz w:val="24"/>
          <w:lang w:val="en-US"/>
        </w:rPr>
        <w:t>pp</w:t>
      </w:r>
      <w:r w:rsidRPr="00FF6C3A">
        <w:rPr>
          <w:rFonts w:ascii="Arial" w:eastAsia="Cambria" w:hAnsi="Arial" w:cs="Arial"/>
          <w:b/>
          <w:sz w:val="24"/>
          <w:lang w:val="en-US"/>
        </w:rPr>
        <w:t>. 315-372,2009</w:t>
      </w:r>
      <w:r w:rsidR="00D9668F" w:rsidRPr="00FF6C3A">
        <w:rPr>
          <w:rFonts w:ascii="Arial" w:eastAsia="Cambria" w:hAnsi="Arial" w:cs="Arial"/>
          <w:b/>
          <w:sz w:val="24"/>
          <w:lang w:val="en-US"/>
        </w:rPr>
        <w:t>.</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lastRenderedPageBreak/>
        <w:t>FRENCH, J. Lawrence. Employee Perspective on Stock Ownership: Financial Investment or Mechanism of Control? The Academy of Management Review, Volume 12, No 3, pp 417-435, 1987.</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FRENCH, Kenneth R.; POTERBA, James M.. Investor Diversification and International Markets. The National Bureau of Economic Research, No 3609, 1991.</w:t>
      </w:r>
    </w:p>
    <w:p w:rsidR="00AF16A0" w:rsidRDefault="00AF16A0" w:rsidP="00AF16A0">
      <w:pPr>
        <w:autoSpaceDE w:val="0"/>
        <w:autoSpaceDN w:val="0"/>
        <w:adjustRightInd w:val="0"/>
        <w:spacing w:line="240" w:lineRule="auto"/>
        <w:rPr>
          <w:rFonts w:ascii="Arial" w:eastAsia="Cambria" w:hAnsi="Arial" w:cs="Arial"/>
          <w:b/>
          <w:sz w:val="24"/>
          <w:lang w:val="en-US"/>
        </w:rPr>
      </w:pPr>
      <w:r w:rsidRPr="00FF6C3A">
        <w:rPr>
          <w:rFonts w:ascii="Arial" w:eastAsia="Cambria" w:hAnsi="Arial" w:cs="Arial"/>
          <w:b/>
          <w:sz w:val="24"/>
          <w:lang w:val="en-US"/>
        </w:rPr>
        <w:t>GOETZMANN, William N.; KUMAR, Alok.Equity Portfolio Diversification.</w:t>
      </w:r>
      <w:r>
        <w:rPr>
          <w:rFonts w:ascii="Arial" w:eastAsia="Cambria" w:hAnsi="Arial" w:cs="Arial"/>
          <w:b/>
          <w:sz w:val="24"/>
          <w:lang w:val="en-US"/>
        </w:rPr>
        <w:t>National Bureau of Economic Research. Cambridge: 2001.</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HEATH, Chip; TVERSKY, Amos. Preference and Belief: Ambiguity and Competence in Choice Under Uncertainty. Journal of Risk and Uncertainty, Volume 4, Issue 1, pp. 5-28, 1991.</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HUBERMAN, Gur. Familiarity Breeds Investment.The Review of Financial Studies, 14 (3), pp. 659-680, 2001.</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HUBERMAN, Gur; SENGMULLER, Paul. Company Stock in 401(K) Plans. Annual Conference Paper, No 659. EFA: 2003.</w:t>
      </w:r>
    </w:p>
    <w:p w:rsidR="00AF16A0" w:rsidRPr="00FF6C3A" w:rsidRDefault="00AF16A0" w:rsidP="00AF16A0">
      <w:pPr>
        <w:autoSpaceDE w:val="0"/>
        <w:autoSpaceDN w:val="0"/>
        <w:adjustRightInd w:val="0"/>
        <w:spacing w:line="240" w:lineRule="auto"/>
        <w:rPr>
          <w:rFonts w:ascii="Arial" w:eastAsia="Cambria" w:hAnsi="Arial" w:cs="Arial"/>
          <w:b/>
          <w:sz w:val="24"/>
        </w:rPr>
      </w:pPr>
      <w:r>
        <w:rPr>
          <w:rFonts w:ascii="Arial" w:eastAsia="Cambria" w:hAnsi="Arial" w:cs="Arial"/>
          <w:b/>
          <w:sz w:val="24"/>
          <w:lang w:val="en-US"/>
        </w:rPr>
        <w:t>HWANG, Soosung; SATCHELL, Stephen E..The Impact of Optimistic and Pessimistic Preferences on Decision Making.</w:t>
      </w:r>
      <w:r w:rsidRPr="00FF6C3A">
        <w:rPr>
          <w:rFonts w:ascii="Arial" w:eastAsia="Cambria" w:hAnsi="Arial" w:cs="Arial"/>
          <w:b/>
          <w:sz w:val="24"/>
        </w:rPr>
        <w:t>Disponível em &lt; </w:t>
      </w:r>
      <w:hyperlink r:id="rId9" w:tgtFrame="_blank" w:history="1">
        <w:r w:rsidRPr="00FF6C3A">
          <w:rPr>
            <w:rFonts w:ascii="Arial" w:eastAsia="Cambria" w:hAnsi="Arial" w:cs="Arial"/>
            <w:b/>
            <w:sz w:val="24"/>
          </w:rPr>
          <w:t>http://ssrn.com/abstract=2306023</w:t>
        </w:r>
      </w:hyperlink>
      <w:r w:rsidRPr="00FF6C3A">
        <w:rPr>
          <w:rFonts w:ascii="Arial" w:eastAsia="Cambria" w:hAnsi="Arial" w:cs="Arial"/>
          <w:b/>
          <w:sz w:val="24"/>
        </w:rPr>
        <w:t>&gt;, Agosto 2013, acesso em 05/06/2015.</w:t>
      </w:r>
    </w:p>
    <w:p w:rsidR="00AF16A0" w:rsidRDefault="00AF16A0" w:rsidP="00AF16A0">
      <w:pPr>
        <w:autoSpaceDE w:val="0"/>
        <w:autoSpaceDN w:val="0"/>
        <w:adjustRightInd w:val="0"/>
        <w:spacing w:line="240" w:lineRule="auto"/>
        <w:rPr>
          <w:rFonts w:ascii="Arial" w:eastAsia="Cambria" w:hAnsi="Arial" w:cs="Arial"/>
          <w:b/>
          <w:sz w:val="24"/>
          <w:lang w:val="en-US"/>
        </w:rPr>
      </w:pPr>
      <w:r w:rsidRPr="00185BE1">
        <w:rPr>
          <w:rFonts w:ascii="Arial" w:eastAsia="Cambria" w:hAnsi="Arial" w:cs="Arial"/>
          <w:b/>
          <w:sz w:val="24"/>
          <w:lang w:val="en-US"/>
        </w:rPr>
        <w:t>IVKOVIC, Zoran; SIALM, Clemens; WEISBENNER, Scott.</w:t>
      </w:r>
      <w:r>
        <w:rPr>
          <w:rFonts w:ascii="Arial" w:eastAsia="Cambria" w:hAnsi="Arial" w:cs="Arial"/>
          <w:b/>
          <w:sz w:val="24"/>
          <w:lang w:val="en-US"/>
        </w:rPr>
        <w:t>Portfolio Concentration and the Performance of Individual Investors. National Bureau of Economic Research. Cambridge: 2004.</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IVKOVIC, Zoran; WEISBENNER, Scott. Local Does as Local Is: Information Content of the Geography of Individual Investors´ Common Stock Investments. The Journal of Finance, Vol. LX, 2001</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KAHNEMAN, Daniel; RIEPE, Mark W..Aspects of Investor Psychology.The Journal of Portfolio Management, Volume 24, No 4, pp. 52-65, 1998.</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KAHNEMAN, Daniel; TVERSKY, Amos.On the reality of cognitive illusions.Psychology Review, 103, pp. 582-591, 1996.</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KANG, Jun-Koo; STULZ, Rene M.. Why is there a home bias? An analysis of foreign portfolio equity ownership in Japan. Journal of Financial Economics, Volume 46, Issue 1, pp. 3-28, 1997.</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LANGER, Ellen J..The Illusion of Controll.Journal of Personality and Social Psychology, Volume 32 (2), pp. 311-328, 1975.</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LEWIS, Karen K.. Trying to Explain Home Bias in Equities and Consumption. Journal of Economic Literature, Volume 37, No 2, pp. 571-608, 1999.</w:t>
      </w:r>
    </w:p>
    <w:p w:rsidR="00CA7036" w:rsidRDefault="00CA7036" w:rsidP="00D9668F">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lastRenderedPageBreak/>
        <w:t>LIANG, Nellie; WEIS</w:t>
      </w:r>
      <w:r w:rsidR="00D9668F" w:rsidRPr="00EF753E">
        <w:rPr>
          <w:rFonts w:ascii="Arial" w:eastAsia="Cambria" w:hAnsi="Arial" w:cs="Arial"/>
          <w:b/>
          <w:sz w:val="24"/>
          <w:lang w:val="en-US"/>
        </w:rPr>
        <w:t>BE</w:t>
      </w:r>
      <w:r>
        <w:rPr>
          <w:rFonts w:ascii="Arial" w:eastAsia="Cambria" w:hAnsi="Arial" w:cs="Arial"/>
          <w:b/>
          <w:sz w:val="24"/>
          <w:lang w:val="en-US"/>
        </w:rPr>
        <w:t>NNER</w:t>
      </w:r>
      <w:r w:rsidR="00D9668F" w:rsidRPr="00EF753E">
        <w:rPr>
          <w:rFonts w:ascii="Arial" w:eastAsia="Cambria" w:hAnsi="Arial" w:cs="Arial"/>
          <w:b/>
          <w:sz w:val="24"/>
          <w:lang w:val="en-US"/>
        </w:rPr>
        <w:t>,</w:t>
      </w:r>
      <w:r>
        <w:rPr>
          <w:rFonts w:ascii="Arial" w:eastAsia="Cambria" w:hAnsi="Arial" w:cs="Arial"/>
          <w:b/>
          <w:sz w:val="24"/>
          <w:lang w:val="en-US"/>
        </w:rPr>
        <w:t xml:space="preserve"> Scott. Investor Behavior and the Purchase of Company Stock in 401(K) Plans – The Importance of Plan Design</w:t>
      </w:r>
      <w:r w:rsidR="00D9668F" w:rsidRPr="00EF753E">
        <w:rPr>
          <w:rFonts w:ascii="Arial" w:eastAsia="Cambria" w:hAnsi="Arial" w:cs="Arial"/>
          <w:b/>
          <w:sz w:val="24"/>
          <w:lang w:val="en-US"/>
        </w:rPr>
        <w:t xml:space="preserve">. Investment management. </w:t>
      </w:r>
      <w:r>
        <w:rPr>
          <w:rFonts w:ascii="Arial" w:eastAsia="Cambria" w:hAnsi="Arial" w:cs="Arial"/>
          <w:b/>
          <w:sz w:val="24"/>
          <w:lang w:val="en-US"/>
        </w:rPr>
        <w:t>National Bureau of Economic Research. Cambridge: 2002.</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LINTNER, John. The Valuation of Risk Assets and the Selection of Risky Investments in Stock Portfolios and Capital Budgets. The Review of Economics and Statistics, Volume 47, No 1, pp. 13-37, 1965</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MARKOWITZ, Harry. Portfolio Selection. Journal of Finance 7, pp. 77-91, 1952.</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MERTON, Robert C..A Simple Model of Capital Market Equilibrium with Incomplete Information. The Journal of Finance, Volume 42, Issue 3, pp. 483-510, 1987.</w:t>
      </w:r>
    </w:p>
    <w:p w:rsidR="00DA4486" w:rsidRDefault="00DA4486"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MIRANDA, Kléber F.; Tomé, Weberson C.; Gal</w:t>
      </w:r>
      <w:r w:rsidRPr="00DA4486">
        <w:rPr>
          <w:rFonts w:ascii="Arial" w:eastAsia="Cambria" w:hAnsi="Arial" w:cs="Arial"/>
          <w:b/>
          <w:sz w:val="24"/>
          <w:lang w:val="en-US"/>
        </w:rPr>
        <w:t xml:space="preserve">lon, Alessandra V.. </w:t>
      </w:r>
      <w:r w:rsidRPr="00DA4486">
        <w:rPr>
          <w:rFonts w:ascii="Arial" w:hAnsi="Arial" w:cs="Arial"/>
          <w:b/>
          <w:sz w:val="24"/>
        </w:rPr>
        <w:t>Evidenciação da Remuneração Variável nas Melhores Empresas para se Trabalhar Listadas na BM&amp;FBovespa: um Estudo à Luz dos CPCs 10 e 33. Pensar Contábil, Rio de Janeiro, Volume 13, N 51, pp. 35 - 47, 2011.</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MORSE, Adair; SHIVE, Sophie.Patriotism in Your Portfolio. Journal of Financial Markets, Volume 14, Issue 2, pp. 411-440, 2011.</w:t>
      </w:r>
    </w:p>
    <w:p w:rsidR="002F343B" w:rsidRDefault="00434491" w:rsidP="002F343B">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RAUH, Joshua D.. Own company stock in defined contribution pension plans: A takeover defense? Journal of Financial Economics, 81, pp. 379-410, 2006.</w:t>
      </w:r>
    </w:p>
    <w:p w:rsidR="00BC4F9F" w:rsidRDefault="00D70A0C" w:rsidP="0086386F">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SHARPE, William F.. Capital Asset Price: A Theory of Market Equilibrium under Conditions of Risk. The Journal of Finance, Volume 19, No 3, pp. 425-442, 1964.</w:t>
      </w:r>
    </w:p>
    <w:p w:rsidR="00DD512D" w:rsidRDefault="00DD512D" w:rsidP="000B578D">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TESAR, Linda; WERNER, Ingrid M..Home bias and high turnover. Journal of International Money and Finance, Volume 14, Issue 4, pp. 467-492, 1995.</w:t>
      </w:r>
    </w:p>
    <w:p w:rsidR="00AF16A0" w:rsidRDefault="00AF16A0" w:rsidP="00AF16A0">
      <w:pPr>
        <w:autoSpaceDE w:val="0"/>
        <w:autoSpaceDN w:val="0"/>
        <w:adjustRightInd w:val="0"/>
        <w:spacing w:line="240" w:lineRule="auto"/>
        <w:rPr>
          <w:rFonts w:ascii="Arial" w:eastAsia="Cambria" w:hAnsi="Arial" w:cs="Arial"/>
          <w:b/>
          <w:sz w:val="24"/>
          <w:lang w:val="en-US"/>
        </w:rPr>
      </w:pPr>
      <w:r>
        <w:rPr>
          <w:rFonts w:ascii="Arial" w:eastAsia="Cambria" w:hAnsi="Arial" w:cs="Arial"/>
          <w:b/>
          <w:sz w:val="24"/>
          <w:lang w:val="en-US"/>
        </w:rPr>
        <w:t>WEINSTEIN, Neil D..Unrealistic optimism about future life events.Journal of Personality and Social Psychology, Volume 39 (5), pp. 806-820, 1980.</w:t>
      </w:r>
    </w:p>
    <w:p w:rsidR="00AF16A0" w:rsidRDefault="00AF16A0" w:rsidP="000B578D">
      <w:pPr>
        <w:autoSpaceDE w:val="0"/>
        <w:autoSpaceDN w:val="0"/>
        <w:adjustRightInd w:val="0"/>
        <w:spacing w:line="240" w:lineRule="auto"/>
        <w:rPr>
          <w:rFonts w:ascii="Arial" w:eastAsia="Cambria" w:hAnsi="Arial" w:cs="Arial"/>
          <w:b/>
          <w:sz w:val="24"/>
          <w:lang w:val="en-US"/>
        </w:rPr>
      </w:pPr>
    </w:p>
    <w:sectPr w:rsidR="00AF16A0" w:rsidSect="00AE4B7F">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D64" w:rsidRDefault="00872D64" w:rsidP="00DE1FC0">
      <w:pPr>
        <w:spacing w:after="0" w:line="240" w:lineRule="auto"/>
      </w:pPr>
      <w:r>
        <w:separator/>
      </w:r>
    </w:p>
  </w:endnote>
  <w:endnote w:type="continuationSeparator" w:id="0">
    <w:p w:rsidR="00872D64" w:rsidRDefault="00872D64" w:rsidP="00DE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C0" w:rsidRDefault="00DE1FC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D64" w:rsidRDefault="00872D64" w:rsidP="00DE1FC0">
      <w:pPr>
        <w:spacing w:after="0" w:line="240" w:lineRule="auto"/>
      </w:pPr>
      <w:r>
        <w:separator/>
      </w:r>
    </w:p>
  </w:footnote>
  <w:footnote w:type="continuationSeparator" w:id="0">
    <w:p w:rsidR="00872D64" w:rsidRDefault="00872D64" w:rsidP="00DE1FC0">
      <w:pPr>
        <w:spacing w:after="0" w:line="240" w:lineRule="auto"/>
      </w:pPr>
      <w:r>
        <w:continuationSeparator/>
      </w:r>
    </w:p>
  </w:footnote>
  <w:footnote w:id="1">
    <w:p w:rsidR="00B864CF" w:rsidRPr="00B864CF" w:rsidRDefault="00B864CF">
      <w:pPr>
        <w:pStyle w:val="Textodenotaderodap"/>
        <w:rPr>
          <w:rFonts w:ascii="Arial" w:hAnsi="Arial" w:cs="Arial"/>
          <w:sz w:val="16"/>
          <w:szCs w:val="16"/>
        </w:rPr>
      </w:pPr>
      <w:r w:rsidRPr="00B864CF">
        <w:rPr>
          <w:rStyle w:val="Refdenotaderodap"/>
          <w:rFonts w:ascii="Arial" w:hAnsi="Arial" w:cs="Arial"/>
          <w:sz w:val="18"/>
          <w:szCs w:val="16"/>
        </w:rPr>
        <w:footnoteRef/>
      </w:r>
      <w:r w:rsidRPr="00B864CF">
        <w:rPr>
          <w:rFonts w:ascii="Arial" w:hAnsi="Arial" w:cs="Arial"/>
          <w:sz w:val="16"/>
          <w:szCs w:val="16"/>
        </w:rPr>
        <w:t xml:space="preserve"> Foram considerados portfólio</w:t>
      </w:r>
      <w:r w:rsidR="00595041">
        <w:rPr>
          <w:rFonts w:ascii="Arial" w:hAnsi="Arial" w:cs="Arial"/>
          <w:sz w:val="16"/>
          <w:szCs w:val="16"/>
        </w:rPr>
        <w:t>s com</w:t>
      </w:r>
      <w:r w:rsidRPr="00B864CF">
        <w:rPr>
          <w:rFonts w:ascii="Arial" w:hAnsi="Arial" w:cs="Arial"/>
          <w:sz w:val="16"/>
          <w:szCs w:val="16"/>
        </w:rPr>
        <w:t xml:space="preserve"> todos os ativos disponíveis na custódia do investidor, inclusive não ações, tais como Fundos de Investimento Imobiliário. </w:t>
      </w:r>
    </w:p>
  </w:footnote>
  <w:footnote w:id="2">
    <w:p w:rsidR="00595041" w:rsidRDefault="00595041">
      <w:pPr>
        <w:pStyle w:val="Textodenotaderodap"/>
      </w:pPr>
      <w:r w:rsidRPr="00595041">
        <w:rPr>
          <w:rStyle w:val="Refdenotaderodap"/>
          <w:rFonts w:ascii="Arial" w:hAnsi="Arial" w:cs="Arial"/>
          <w:sz w:val="18"/>
          <w:szCs w:val="18"/>
        </w:rPr>
        <w:footnoteRef/>
      </w:r>
      <w:r>
        <w:t xml:space="preserve"> </w:t>
      </w:r>
      <w:r>
        <w:rPr>
          <w:rFonts w:ascii="Arial" w:hAnsi="Arial" w:cs="Arial"/>
          <w:sz w:val="16"/>
          <w:szCs w:val="16"/>
        </w:rPr>
        <w:t>Ou</w:t>
      </w:r>
      <w:r w:rsidRPr="00595041">
        <w:rPr>
          <w:rFonts w:ascii="Arial" w:hAnsi="Arial" w:cs="Arial"/>
          <w:sz w:val="16"/>
          <w:szCs w:val="16"/>
        </w:rPr>
        <w:t xml:space="preserve"> o tempo máximo disponível em caso de abertura de capital posterior a data inicial da análise</w:t>
      </w:r>
    </w:p>
  </w:footnote>
  <w:footnote w:id="3">
    <w:p w:rsidR="00B864CF" w:rsidRPr="00B864CF" w:rsidRDefault="00B864CF">
      <w:pPr>
        <w:pStyle w:val="Textodenotaderodap"/>
        <w:rPr>
          <w:rFonts w:ascii="Arial" w:hAnsi="Arial" w:cs="Arial"/>
          <w:sz w:val="16"/>
          <w:szCs w:val="16"/>
        </w:rPr>
      </w:pPr>
      <w:r w:rsidRPr="00B864CF">
        <w:rPr>
          <w:rStyle w:val="Refdenotaderodap"/>
          <w:rFonts w:ascii="Arial" w:hAnsi="Arial" w:cs="Arial"/>
          <w:sz w:val="18"/>
          <w:szCs w:val="16"/>
        </w:rPr>
        <w:footnoteRef/>
      </w:r>
      <w:r w:rsidRPr="00B864CF">
        <w:rPr>
          <w:rFonts w:ascii="Arial" w:hAnsi="Arial" w:cs="Arial"/>
          <w:sz w:val="16"/>
          <w:szCs w:val="16"/>
        </w:rPr>
        <w:t xml:space="preserve"> Foi realizado o estudo sem os ativos não ações e os resultados encontrados foram similares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E68"/>
    <w:multiLevelType w:val="multilevel"/>
    <w:tmpl w:val="7884CD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3B9645E"/>
    <w:multiLevelType w:val="multilevel"/>
    <w:tmpl w:val="13608FFA"/>
    <w:lvl w:ilvl="0">
      <w:start w:val="1"/>
      <w:numFmt w:val="decimal"/>
      <w:pStyle w:val="Ttulo1"/>
      <w:lvlText w:val="%1"/>
      <w:lvlJc w:val="left"/>
      <w:pPr>
        <w:tabs>
          <w:tab w:val="num" w:pos="432"/>
        </w:tabs>
        <w:ind w:left="432" w:hanging="432"/>
      </w:pPr>
      <w:rPr>
        <w:rFonts w:ascii="Verdana" w:hAnsi="Verdana" w:hint="default"/>
        <w:b/>
        <w:i w:val="0"/>
        <w:sz w:val="20"/>
        <w:szCs w:val="20"/>
      </w:rPr>
    </w:lvl>
    <w:lvl w:ilvl="1">
      <w:start w:val="1"/>
      <w:numFmt w:val="decimal"/>
      <w:pStyle w:val="Ttulo2"/>
      <w:lvlText w:val="%1.%2"/>
      <w:lvlJc w:val="left"/>
      <w:pPr>
        <w:tabs>
          <w:tab w:val="num" w:pos="576"/>
        </w:tabs>
        <w:ind w:left="576" w:hanging="576"/>
      </w:pPr>
      <w:rPr>
        <w:rFonts w:ascii="Verdana" w:hAnsi="Verdana" w:hint="default"/>
        <w:b/>
        <w:i w:val="0"/>
        <w:sz w:val="20"/>
        <w:szCs w:val="20"/>
      </w:rPr>
    </w:lvl>
    <w:lvl w:ilvl="2">
      <w:start w:val="1"/>
      <w:numFmt w:val="decimal"/>
      <w:pStyle w:val="Ttulo3"/>
      <w:lvlText w:val="%1.%2.%3"/>
      <w:lvlJc w:val="left"/>
      <w:pPr>
        <w:tabs>
          <w:tab w:val="num" w:pos="720"/>
        </w:tabs>
        <w:ind w:left="720" w:hanging="720"/>
      </w:pPr>
      <w:rPr>
        <w:rFonts w:hint="default"/>
        <w:sz w:val="20"/>
        <w:szCs w:val="20"/>
      </w:rPr>
    </w:lvl>
    <w:lvl w:ilvl="3">
      <w:start w:val="1"/>
      <w:numFmt w:val="decimal"/>
      <w:pStyle w:val="Ttulo4"/>
      <w:lvlText w:val="%1.%2.%3.%4"/>
      <w:lvlJc w:val="left"/>
      <w:pPr>
        <w:tabs>
          <w:tab w:val="num" w:pos="864"/>
        </w:tabs>
        <w:ind w:left="864" w:hanging="864"/>
      </w:pPr>
      <w:rPr>
        <w:rFonts w:ascii="Verdana" w:hAnsi="Verdana" w:hint="default"/>
        <w:b w:val="0"/>
        <w:i/>
        <w:sz w:val="20"/>
        <w:szCs w:val="20"/>
      </w:rPr>
    </w:lvl>
    <w:lvl w:ilvl="4">
      <w:start w:val="1"/>
      <w:numFmt w:val="decimal"/>
      <w:pStyle w:val="Ttulo5"/>
      <w:lvlText w:val="%1.%2.%3.%4.%5"/>
      <w:lvlJc w:val="left"/>
      <w:pPr>
        <w:tabs>
          <w:tab w:val="num" w:pos="1008"/>
        </w:tabs>
        <w:ind w:left="1008" w:hanging="1008"/>
      </w:pPr>
      <w:rPr>
        <w:rFonts w:ascii="Verdana" w:hAnsi="Verdana" w:hint="default"/>
        <w:b w:val="0"/>
        <w:i/>
        <w:sz w:val="20"/>
        <w:szCs w:val="20"/>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
    <w:nsid w:val="14CA2E7F"/>
    <w:multiLevelType w:val="multilevel"/>
    <w:tmpl w:val="95A2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F17160"/>
    <w:multiLevelType w:val="hybridMultilevel"/>
    <w:tmpl w:val="C5D8A3B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CF07523"/>
    <w:multiLevelType w:val="hybridMultilevel"/>
    <w:tmpl w:val="4366F3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0C63BF7"/>
    <w:multiLevelType w:val="hybridMultilevel"/>
    <w:tmpl w:val="ABA440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80"/>
    <w:rsid w:val="000016AB"/>
    <w:rsid w:val="000054FD"/>
    <w:rsid w:val="0002240E"/>
    <w:rsid w:val="00032DC6"/>
    <w:rsid w:val="000339E4"/>
    <w:rsid w:val="00044012"/>
    <w:rsid w:val="00047E65"/>
    <w:rsid w:val="000526A5"/>
    <w:rsid w:val="0005550F"/>
    <w:rsid w:val="0007210A"/>
    <w:rsid w:val="00092E46"/>
    <w:rsid w:val="000B13B2"/>
    <w:rsid w:val="000B36DA"/>
    <w:rsid w:val="000B43FA"/>
    <w:rsid w:val="000B578D"/>
    <w:rsid w:val="000B61F4"/>
    <w:rsid w:val="000C1C5A"/>
    <w:rsid w:val="000C2D95"/>
    <w:rsid w:val="000C5B15"/>
    <w:rsid w:val="000D1876"/>
    <w:rsid w:val="000D19D5"/>
    <w:rsid w:val="000D5AF3"/>
    <w:rsid w:val="0010645E"/>
    <w:rsid w:val="00107580"/>
    <w:rsid w:val="00111081"/>
    <w:rsid w:val="0012696E"/>
    <w:rsid w:val="00127486"/>
    <w:rsid w:val="00140CEA"/>
    <w:rsid w:val="001437DA"/>
    <w:rsid w:val="00144015"/>
    <w:rsid w:val="001539D3"/>
    <w:rsid w:val="00161956"/>
    <w:rsid w:val="00165900"/>
    <w:rsid w:val="00185BE1"/>
    <w:rsid w:val="001915BE"/>
    <w:rsid w:val="001A61A2"/>
    <w:rsid w:val="001B1C01"/>
    <w:rsid w:val="001B4755"/>
    <w:rsid w:val="001C1D9F"/>
    <w:rsid w:val="001D5C6A"/>
    <w:rsid w:val="001E46E4"/>
    <w:rsid w:val="002059F2"/>
    <w:rsid w:val="0021027E"/>
    <w:rsid w:val="00212BEE"/>
    <w:rsid w:val="00216AE2"/>
    <w:rsid w:val="00225697"/>
    <w:rsid w:val="0024044F"/>
    <w:rsid w:val="002470A5"/>
    <w:rsid w:val="00256E0E"/>
    <w:rsid w:val="002574E7"/>
    <w:rsid w:val="00264F80"/>
    <w:rsid w:val="00273B46"/>
    <w:rsid w:val="0028294F"/>
    <w:rsid w:val="002842C6"/>
    <w:rsid w:val="00286D64"/>
    <w:rsid w:val="0029370A"/>
    <w:rsid w:val="0029638E"/>
    <w:rsid w:val="002A150B"/>
    <w:rsid w:val="002A279B"/>
    <w:rsid w:val="002A497D"/>
    <w:rsid w:val="002B618F"/>
    <w:rsid w:val="002D330B"/>
    <w:rsid w:val="002E7AA0"/>
    <w:rsid w:val="002F343B"/>
    <w:rsid w:val="002F40F5"/>
    <w:rsid w:val="002F58F2"/>
    <w:rsid w:val="003020B1"/>
    <w:rsid w:val="003100E9"/>
    <w:rsid w:val="003119C3"/>
    <w:rsid w:val="003145DF"/>
    <w:rsid w:val="00316A60"/>
    <w:rsid w:val="0032259C"/>
    <w:rsid w:val="00325210"/>
    <w:rsid w:val="00332179"/>
    <w:rsid w:val="003431A6"/>
    <w:rsid w:val="00345192"/>
    <w:rsid w:val="0035560B"/>
    <w:rsid w:val="00362094"/>
    <w:rsid w:val="00362D23"/>
    <w:rsid w:val="00365C0B"/>
    <w:rsid w:val="00387A0B"/>
    <w:rsid w:val="00393237"/>
    <w:rsid w:val="003B25E0"/>
    <w:rsid w:val="003D3A36"/>
    <w:rsid w:val="003D3DDF"/>
    <w:rsid w:val="003D3DF7"/>
    <w:rsid w:val="003D6DC9"/>
    <w:rsid w:val="003E49BB"/>
    <w:rsid w:val="0040132A"/>
    <w:rsid w:val="00405E89"/>
    <w:rsid w:val="00434491"/>
    <w:rsid w:val="00443650"/>
    <w:rsid w:val="00445A73"/>
    <w:rsid w:val="0047042E"/>
    <w:rsid w:val="00475C50"/>
    <w:rsid w:val="004821E6"/>
    <w:rsid w:val="00485279"/>
    <w:rsid w:val="004A7C60"/>
    <w:rsid w:val="004B69CD"/>
    <w:rsid w:val="004C3DF3"/>
    <w:rsid w:val="004C6568"/>
    <w:rsid w:val="004D2A9B"/>
    <w:rsid w:val="004D3B93"/>
    <w:rsid w:val="004E1171"/>
    <w:rsid w:val="004E452B"/>
    <w:rsid w:val="004E7996"/>
    <w:rsid w:val="00502AB8"/>
    <w:rsid w:val="00511C20"/>
    <w:rsid w:val="00514D79"/>
    <w:rsid w:val="00514F59"/>
    <w:rsid w:val="00531B99"/>
    <w:rsid w:val="005332E0"/>
    <w:rsid w:val="00540EE2"/>
    <w:rsid w:val="00541097"/>
    <w:rsid w:val="00552DDB"/>
    <w:rsid w:val="005559F2"/>
    <w:rsid w:val="0056321A"/>
    <w:rsid w:val="005718EF"/>
    <w:rsid w:val="00582150"/>
    <w:rsid w:val="00585CBE"/>
    <w:rsid w:val="00595041"/>
    <w:rsid w:val="005A0951"/>
    <w:rsid w:val="005A1607"/>
    <w:rsid w:val="005C4B27"/>
    <w:rsid w:val="005D3299"/>
    <w:rsid w:val="005E1691"/>
    <w:rsid w:val="005E6938"/>
    <w:rsid w:val="005F2CBE"/>
    <w:rsid w:val="0060260F"/>
    <w:rsid w:val="00620D5F"/>
    <w:rsid w:val="0062614E"/>
    <w:rsid w:val="00630117"/>
    <w:rsid w:val="006472FA"/>
    <w:rsid w:val="00657A12"/>
    <w:rsid w:val="00672A65"/>
    <w:rsid w:val="006828BF"/>
    <w:rsid w:val="00691626"/>
    <w:rsid w:val="00694A39"/>
    <w:rsid w:val="00695ADA"/>
    <w:rsid w:val="006A6B95"/>
    <w:rsid w:val="006B4067"/>
    <w:rsid w:val="006F4787"/>
    <w:rsid w:val="00714264"/>
    <w:rsid w:val="00731B7F"/>
    <w:rsid w:val="00745EBF"/>
    <w:rsid w:val="00746A55"/>
    <w:rsid w:val="007722A6"/>
    <w:rsid w:val="007731D8"/>
    <w:rsid w:val="00781391"/>
    <w:rsid w:val="0078259E"/>
    <w:rsid w:val="0079279D"/>
    <w:rsid w:val="00793C4F"/>
    <w:rsid w:val="00794D56"/>
    <w:rsid w:val="007A379C"/>
    <w:rsid w:val="007B2B0F"/>
    <w:rsid w:val="007B4844"/>
    <w:rsid w:val="007C0E5D"/>
    <w:rsid w:val="007D42E7"/>
    <w:rsid w:val="007D6F95"/>
    <w:rsid w:val="007E452A"/>
    <w:rsid w:val="007E5FCD"/>
    <w:rsid w:val="007F53A1"/>
    <w:rsid w:val="00823BBB"/>
    <w:rsid w:val="008258BD"/>
    <w:rsid w:val="00834E29"/>
    <w:rsid w:val="00837110"/>
    <w:rsid w:val="008413ED"/>
    <w:rsid w:val="00843ECE"/>
    <w:rsid w:val="00845066"/>
    <w:rsid w:val="008507AA"/>
    <w:rsid w:val="0085126F"/>
    <w:rsid w:val="00856AC4"/>
    <w:rsid w:val="0086386F"/>
    <w:rsid w:val="00872D64"/>
    <w:rsid w:val="008A0292"/>
    <w:rsid w:val="008A2572"/>
    <w:rsid w:val="008B32A4"/>
    <w:rsid w:val="008B34B2"/>
    <w:rsid w:val="008C4D85"/>
    <w:rsid w:val="008C6165"/>
    <w:rsid w:val="008D437F"/>
    <w:rsid w:val="008E5CB9"/>
    <w:rsid w:val="008E5E6C"/>
    <w:rsid w:val="00920E69"/>
    <w:rsid w:val="00926558"/>
    <w:rsid w:val="00932C17"/>
    <w:rsid w:val="00935446"/>
    <w:rsid w:val="009418B8"/>
    <w:rsid w:val="00966210"/>
    <w:rsid w:val="0097631A"/>
    <w:rsid w:val="00982BAB"/>
    <w:rsid w:val="00983796"/>
    <w:rsid w:val="009A1D65"/>
    <w:rsid w:val="009B154F"/>
    <w:rsid w:val="009B245D"/>
    <w:rsid w:val="009C1408"/>
    <w:rsid w:val="009E1973"/>
    <w:rsid w:val="00A01EF9"/>
    <w:rsid w:val="00A12D8B"/>
    <w:rsid w:val="00A140F5"/>
    <w:rsid w:val="00A16F8D"/>
    <w:rsid w:val="00A30D8B"/>
    <w:rsid w:val="00A560C9"/>
    <w:rsid w:val="00A56226"/>
    <w:rsid w:val="00A623AD"/>
    <w:rsid w:val="00A7550B"/>
    <w:rsid w:val="00A75933"/>
    <w:rsid w:val="00A77C26"/>
    <w:rsid w:val="00A93916"/>
    <w:rsid w:val="00A955C8"/>
    <w:rsid w:val="00AA72C1"/>
    <w:rsid w:val="00AB0F5F"/>
    <w:rsid w:val="00AC31A1"/>
    <w:rsid w:val="00AC3F79"/>
    <w:rsid w:val="00AD55F1"/>
    <w:rsid w:val="00AE0BA6"/>
    <w:rsid w:val="00AE4B7F"/>
    <w:rsid w:val="00AE5190"/>
    <w:rsid w:val="00AF015B"/>
    <w:rsid w:val="00AF16A0"/>
    <w:rsid w:val="00AF2DF7"/>
    <w:rsid w:val="00B10780"/>
    <w:rsid w:val="00B11BF7"/>
    <w:rsid w:val="00B13D4B"/>
    <w:rsid w:val="00B14145"/>
    <w:rsid w:val="00B21CE2"/>
    <w:rsid w:val="00B27051"/>
    <w:rsid w:val="00B40BFA"/>
    <w:rsid w:val="00B4636A"/>
    <w:rsid w:val="00B60722"/>
    <w:rsid w:val="00B65129"/>
    <w:rsid w:val="00B660F5"/>
    <w:rsid w:val="00B7395E"/>
    <w:rsid w:val="00B76905"/>
    <w:rsid w:val="00B864CF"/>
    <w:rsid w:val="00B95C0E"/>
    <w:rsid w:val="00BA3690"/>
    <w:rsid w:val="00BA7B0A"/>
    <w:rsid w:val="00BB3508"/>
    <w:rsid w:val="00BB71D4"/>
    <w:rsid w:val="00BC4F9F"/>
    <w:rsid w:val="00BD21CA"/>
    <w:rsid w:val="00BD221F"/>
    <w:rsid w:val="00BD7549"/>
    <w:rsid w:val="00BE675E"/>
    <w:rsid w:val="00BE6FEE"/>
    <w:rsid w:val="00BF1FA5"/>
    <w:rsid w:val="00C07E76"/>
    <w:rsid w:val="00C14204"/>
    <w:rsid w:val="00C1426D"/>
    <w:rsid w:val="00C1796C"/>
    <w:rsid w:val="00C23B5A"/>
    <w:rsid w:val="00C40F7D"/>
    <w:rsid w:val="00C43419"/>
    <w:rsid w:val="00C508FB"/>
    <w:rsid w:val="00C50DEB"/>
    <w:rsid w:val="00C64F56"/>
    <w:rsid w:val="00C73742"/>
    <w:rsid w:val="00C73AB8"/>
    <w:rsid w:val="00C73B0C"/>
    <w:rsid w:val="00C82236"/>
    <w:rsid w:val="00C877C8"/>
    <w:rsid w:val="00C924B4"/>
    <w:rsid w:val="00CA7036"/>
    <w:rsid w:val="00CB142C"/>
    <w:rsid w:val="00CB669B"/>
    <w:rsid w:val="00CB6A48"/>
    <w:rsid w:val="00CD306E"/>
    <w:rsid w:val="00CD3673"/>
    <w:rsid w:val="00CD6480"/>
    <w:rsid w:val="00CE0242"/>
    <w:rsid w:val="00CF609A"/>
    <w:rsid w:val="00D05EE6"/>
    <w:rsid w:val="00D14503"/>
    <w:rsid w:val="00D14C08"/>
    <w:rsid w:val="00D2045E"/>
    <w:rsid w:val="00D2052D"/>
    <w:rsid w:val="00D33096"/>
    <w:rsid w:val="00D34F6B"/>
    <w:rsid w:val="00D60C5F"/>
    <w:rsid w:val="00D63ED0"/>
    <w:rsid w:val="00D707C9"/>
    <w:rsid w:val="00D70A0C"/>
    <w:rsid w:val="00D730D2"/>
    <w:rsid w:val="00D96049"/>
    <w:rsid w:val="00D9668F"/>
    <w:rsid w:val="00DA06AA"/>
    <w:rsid w:val="00DA4486"/>
    <w:rsid w:val="00DB67D1"/>
    <w:rsid w:val="00DD1FDF"/>
    <w:rsid w:val="00DD512D"/>
    <w:rsid w:val="00DE1410"/>
    <w:rsid w:val="00DE1FC0"/>
    <w:rsid w:val="00DF2936"/>
    <w:rsid w:val="00DF403C"/>
    <w:rsid w:val="00DF5F51"/>
    <w:rsid w:val="00E05CF6"/>
    <w:rsid w:val="00E07838"/>
    <w:rsid w:val="00E16DEC"/>
    <w:rsid w:val="00E36D16"/>
    <w:rsid w:val="00E36F12"/>
    <w:rsid w:val="00E447FA"/>
    <w:rsid w:val="00E45341"/>
    <w:rsid w:val="00E47453"/>
    <w:rsid w:val="00E561F1"/>
    <w:rsid w:val="00E66586"/>
    <w:rsid w:val="00E722EB"/>
    <w:rsid w:val="00E743F1"/>
    <w:rsid w:val="00EA10E9"/>
    <w:rsid w:val="00EB4C6A"/>
    <w:rsid w:val="00EC03EF"/>
    <w:rsid w:val="00ED2577"/>
    <w:rsid w:val="00ED3FEA"/>
    <w:rsid w:val="00ED4D94"/>
    <w:rsid w:val="00EE4D9B"/>
    <w:rsid w:val="00EF0189"/>
    <w:rsid w:val="00EF0A6F"/>
    <w:rsid w:val="00EF727D"/>
    <w:rsid w:val="00EF753E"/>
    <w:rsid w:val="00F02BB2"/>
    <w:rsid w:val="00F076AB"/>
    <w:rsid w:val="00F14B97"/>
    <w:rsid w:val="00F14CAB"/>
    <w:rsid w:val="00F316EF"/>
    <w:rsid w:val="00F4332D"/>
    <w:rsid w:val="00F473D4"/>
    <w:rsid w:val="00F52BF6"/>
    <w:rsid w:val="00F563CA"/>
    <w:rsid w:val="00F70887"/>
    <w:rsid w:val="00F834A4"/>
    <w:rsid w:val="00F85033"/>
    <w:rsid w:val="00FA60B6"/>
    <w:rsid w:val="00FC3221"/>
    <w:rsid w:val="00FD2477"/>
    <w:rsid w:val="00FD596E"/>
    <w:rsid w:val="00FD604E"/>
    <w:rsid w:val="00FE381A"/>
    <w:rsid w:val="00FF5B42"/>
    <w:rsid w:val="00FF6C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80"/>
    <w:pPr>
      <w:spacing w:after="360" w:line="360" w:lineRule="auto"/>
      <w:jc w:val="both"/>
    </w:pPr>
    <w:rPr>
      <w:rFonts w:ascii="Verdana" w:eastAsia="Times New Roman" w:hAnsi="Verdana" w:cs="Times New Roman"/>
      <w:sz w:val="20"/>
      <w:szCs w:val="24"/>
    </w:rPr>
  </w:style>
  <w:style w:type="paragraph" w:styleId="Ttulo1">
    <w:name w:val="heading 1"/>
    <w:basedOn w:val="Normal"/>
    <w:next w:val="Normal"/>
    <w:link w:val="Ttulo1Char"/>
    <w:qFormat/>
    <w:rsid w:val="00B10780"/>
    <w:pPr>
      <w:keepNext/>
      <w:pageBreakBefore/>
      <w:numPr>
        <w:numId w:val="1"/>
      </w:numPr>
      <w:spacing w:after="720"/>
      <w:outlineLvl w:val="0"/>
    </w:pPr>
    <w:rPr>
      <w:rFonts w:cs="Arial"/>
      <w:b/>
      <w:bCs/>
      <w:caps/>
      <w:kern w:val="32"/>
    </w:rPr>
  </w:style>
  <w:style w:type="paragraph" w:styleId="Ttulo2">
    <w:name w:val="heading 2"/>
    <w:basedOn w:val="Normal"/>
    <w:next w:val="Normal"/>
    <w:link w:val="Ttulo2Char"/>
    <w:qFormat/>
    <w:rsid w:val="00B10780"/>
    <w:pPr>
      <w:keepNext/>
      <w:numPr>
        <w:ilvl w:val="1"/>
        <w:numId w:val="1"/>
      </w:numPr>
      <w:spacing w:before="720" w:after="720"/>
      <w:outlineLvl w:val="1"/>
    </w:pPr>
    <w:rPr>
      <w:rFonts w:cs="Arial"/>
      <w:b/>
      <w:bCs/>
      <w:iCs/>
      <w:smallCaps/>
    </w:rPr>
  </w:style>
  <w:style w:type="paragraph" w:styleId="Ttulo3">
    <w:name w:val="heading 3"/>
    <w:basedOn w:val="Normal"/>
    <w:next w:val="Normal"/>
    <w:link w:val="Ttulo3Char"/>
    <w:qFormat/>
    <w:rsid w:val="00B10780"/>
    <w:pPr>
      <w:keepNext/>
      <w:numPr>
        <w:ilvl w:val="2"/>
        <w:numId w:val="1"/>
      </w:numPr>
      <w:spacing w:before="720" w:after="720"/>
      <w:outlineLvl w:val="2"/>
    </w:pPr>
    <w:rPr>
      <w:rFonts w:cs="Arial"/>
      <w:b/>
      <w:bCs/>
    </w:rPr>
  </w:style>
  <w:style w:type="paragraph" w:styleId="Ttulo4">
    <w:name w:val="heading 4"/>
    <w:basedOn w:val="Normal"/>
    <w:next w:val="Normal"/>
    <w:link w:val="Ttulo4Char"/>
    <w:qFormat/>
    <w:rsid w:val="00B10780"/>
    <w:pPr>
      <w:keepNext/>
      <w:numPr>
        <w:ilvl w:val="3"/>
        <w:numId w:val="1"/>
      </w:numPr>
      <w:spacing w:before="720" w:after="720"/>
      <w:outlineLvl w:val="3"/>
    </w:pPr>
    <w:rPr>
      <w:bCs/>
      <w:i/>
      <w:smallCaps/>
    </w:rPr>
  </w:style>
  <w:style w:type="paragraph" w:styleId="Ttulo5">
    <w:name w:val="heading 5"/>
    <w:basedOn w:val="Normal"/>
    <w:next w:val="Normal"/>
    <w:link w:val="Ttulo5Char"/>
    <w:qFormat/>
    <w:rsid w:val="00B10780"/>
    <w:pPr>
      <w:numPr>
        <w:ilvl w:val="4"/>
        <w:numId w:val="1"/>
      </w:numPr>
      <w:spacing w:before="720" w:after="720"/>
      <w:outlineLvl w:val="4"/>
    </w:pPr>
    <w:rPr>
      <w:bCs/>
      <w:i/>
      <w:iCs/>
    </w:rPr>
  </w:style>
  <w:style w:type="paragraph" w:styleId="Ttulo6">
    <w:name w:val="heading 6"/>
    <w:basedOn w:val="Normal"/>
    <w:next w:val="Normal"/>
    <w:link w:val="Ttulo6Char"/>
    <w:qFormat/>
    <w:rsid w:val="00B10780"/>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har"/>
    <w:qFormat/>
    <w:rsid w:val="00B10780"/>
    <w:pPr>
      <w:numPr>
        <w:ilvl w:val="6"/>
        <w:numId w:val="1"/>
      </w:numPr>
      <w:spacing w:before="240" w:after="60"/>
      <w:outlineLvl w:val="6"/>
    </w:pPr>
    <w:rPr>
      <w:rFonts w:ascii="Times New Roman" w:hAnsi="Times New Roman"/>
    </w:rPr>
  </w:style>
  <w:style w:type="paragraph" w:styleId="Ttulo8">
    <w:name w:val="heading 8"/>
    <w:basedOn w:val="Normal"/>
    <w:next w:val="Normal"/>
    <w:link w:val="Ttulo8Char"/>
    <w:qFormat/>
    <w:rsid w:val="00B10780"/>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har"/>
    <w:qFormat/>
    <w:rsid w:val="00B10780"/>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10780"/>
    <w:rPr>
      <w:rFonts w:ascii="Verdana" w:eastAsia="Times New Roman" w:hAnsi="Verdana" w:cs="Arial"/>
      <w:b/>
      <w:bCs/>
      <w:caps/>
      <w:kern w:val="32"/>
      <w:sz w:val="20"/>
      <w:szCs w:val="24"/>
    </w:rPr>
  </w:style>
  <w:style w:type="character" w:customStyle="1" w:styleId="Ttulo2Char">
    <w:name w:val="Título 2 Char"/>
    <w:basedOn w:val="Fontepargpadro"/>
    <w:link w:val="Ttulo2"/>
    <w:rsid w:val="00B10780"/>
    <w:rPr>
      <w:rFonts w:ascii="Verdana" w:eastAsia="Times New Roman" w:hAnsi="Verdana" w:cs="Arial"/>
      <w:b/>
      <w:bCs/>
      <w:iCs/>
      <w:smallCaps/>
      <w:sz w:val="20"/>
      <w:szCs w:val="24"/>
    </w:rPr>
  </w:style>
  <w:style w:type="character" w:customStyle="1" w:styleId="Ttulo3Char">
    <w:name w:val="Título 3 Char"/>
    <w:basedOn w:val="Fontepargpadro"/>
    <w:link w:val="Ttulo3"/>
    <w:rsid w:val="00B10780"/>
    <w:rPr>
      <w:rFonts w:ascii="Verdana" w:eastAsia="Times New Roman" w:hAnsi="Verdana" w:cs="Arial"/>
      <w:b/>
      <w:bCs/>
      <w:sz w:val="20"/>
      <w:szCs w:val="24"/>
    </w:rPr>
  </w:style>
  <w:style w:type="character" w:customStyle="1" w:styleId="Ttulo4Char">
    <w:name w:val="Título 4 Char"/>
    <w:basedOn w:val="Fontepargpadro"/>
    <w:link w:val="Ttulo4"/>
    <w:rsid w:val="00B10780"/>
    <w:rPr>
      <w:rFonts w:ascii="Verdana" w:eastAsia="Times New Roman" w:hAnsi="Verdana" w:cs="Times New Roman"/>
      <w:bCs/>
      <w:i/>
      <w:smallCaps/>
      <w:sz w:val="20"/>
      <w:szCs w:val="24"/>
    </w:rPr>
  </w:style>
  <w:style w:type="character" w:customStyle="1" w:styleId="Ttulo5Char">
    <w:name w:val="Título 5 Char"/>
    <w:basedOn w:val="Fontepargpadro"/>
    <w:link w:val="Ttulo5"/>
    <w:rsid w:val="00B10780"/>
    <w:rPr>
      <w:rFonts w:ascii="Verdana" w:eastAsia="Times New Roman" w:hAnsi="Verdana" w:cs="Times New Roman"/>
      <w:bCs/>
      <w:i/>
      <w:iCs/>
      <w:sz w:val="20"/>
      <w:szCs w:val="24"/>
    </w:rPr>
  </w:style>
  <w:style w:type="character" w:customStyle="1" w:styleId="Ttulo6Char">
    <w:name w:val="Título 6 Char"/>
    <w:basedOn w:val="Fontepargpadro"/>
    <w:link w:val="Ttulo6"/>
    <w:rsid w:val="00B10780"/>
    <w:rPr>
      <w:rFonts w:ascii="Times New Roman" w:eastAsia="Times New Roman" w:hAnsi="Times New Roman" w:cs="Times New Roman"/>
      <w:b/>
      <w:bCs/>
    </w:rPr>
  </w:style>
  <w:style w:type="character" w:customStyle="1" w:styleId="Ttulo7Char">
    <w:name w:val="Título 7 Char"/>
    <w:basedOn w:val="Fontepargpadro"/>
    <w:link w:val="Ttulo7"/>
    <w:rsid w:val="00B10780"/>
    <w:rPr>
      <w:rFonts w:ascii="Times New Roman" w:eastAsia="Times New Roman" w:hAnsi="Times New Roman" w:cs="Times New Roman"/>
      <w:sz w:val="20"/>
      <w:szCs w:val="24"/>
    </w:rPr>
  </w:style>
  <w:style w:type="character" w:customStyle="1" w:styleId="Ttulo8Char">
    <w:name w:val="Título 8 Char"/>
    <w:basedOn w:val="Fontepargpadro"/>
    <w:link w:val="Ttulo8"/>
    <w:rsid w:val="00B10780"/>
    <w:rPr>
      <w:rFonts w:ascii="Times New Roman" w:eastAsia="Times New Roman" w:hAnsi="Times New Roman" w:cs="Times New Roman"/>
      <w:i/>
      <w:iCs/>
      <w:sz w:val="20"/>
      <w:szCs w:val="24"/>
    </w:rPr>
  </w:style>
  <w:style w:type="character" w:customStyle="1" w:styleId="Ttulo9Char">
    <w:name w:val="Título 9 Char"/>
    <w:basedOn w:val="Fontepargpadro"/>
    <w:link w:val="Ttulo9"/>
    <w:rsid w:val="00B10780"/>
    <w:rPr>
      <w:rFonts w:ascii="Arial" w:eastAsia="Times New Roman" w:hAnsi="Arial" w:cs="Arial"/>
    </w:rPr>
  </w:style>
  <w:style w:type="paragraph" w:customStyle="1" w:styleId="EstiloTtulo111pt">
    <w:name w:val="Estilo Título 1 + 11 pt"/>
    <w:basedOn w:val="Ttulo1"/>
    <w:rsid w:val="00B10780"/>
  </w:style>
  <w:style w:type="character" w:customStyle="1" w:styleId="Estilo11ptVermelho">
    <w:name w:val="Estilo 11 pt Vermelho"/>
    <w:rsid w:val="00B10780"/>
    <w:rPr>
      <w:color w:val="FF0000"/>
      <w:sz w:val="20"/>
    </w:rPr>
  </w:style>
  <w:style w:type="paragraph" w:styleId="Textodebalo">
    <w:name w:val="Balloon Text"/>
    <w:basedOn w:val="Normal"/>
    <w:link w:val="TextodebaloChar"/>
    <w:uiPriority w:val="99"/>
    <w:semiHidden/>
    <w:unhideWhenUsed/>
    <w:rsid w:val="006828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28BF"/>
    <w:rPr>
      <w:rFonts w:ascii="Tahoma" w:eastAsia="Times New Roman" w:hAnsi="Tahoma" w:cs="Tahoma"/>
      <w:sz w:val="16"/>
      <w:szCs w:val="16"/>
    </w:rPr>
  </w:style>
  <w:style w:type="paragraph" w:styleId="PargrafodaLista">
    <w:name w:val="List Paragraph"/>
    <w:basedOn w:val="Normal"/>
    <w:uiPriority w:val="34"/>
    <w:qFormat/>
    <w:rsid w:val="007E5FCD"/>
    <w:pPr>
      <w:ind w:left="720"/>
      <w:contextualSpacing/>
    </w:pPr>
  </w:style>
  <w:style w:type="character" w:customStyle="1" w:styleId="z3988">
    <w:name w:val="z3988"/>
    <w:basedOn w:val="Fontepargpadro"/>
    <w:rsid w:val="00630117"/>
  </w:style>
  <w:style w:type="paragraph" w:customStyle="1" w:styleId="Default">
    <w:name w:val="Default"/>
    <w:rsid w:val="00445A7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Fontepargpadro"/>
    <w:uiPriority w:val="99"/>
    <w:unhideWhenUsed/>
    <w:rsid w:val="007C0E5D"/>
    <w:rPr>
      <w:color w:val="0000FF"/>
      <w:u w:val="single"/>
    </w:rPr>
  </w:style>
  <w:style w:type="paragraph" w:styleId="NormalWeb">
    <w:name w:val="Normal (Web)"/>
    <w:basedOn w:val="Normal"/>
    <w:uiPriority w:val="99"/>
    <w:unhideWhenUsed/>
    <w:rsid w:val="007C0E5D"/>
    <w:pPr>
      <w:spacing w:before="100" w:beforeAutospacing="1" w:after="100" w:afterAutospacing="1" w:line="240" w:lineRule="auto"/>
      <w:jc w:val="left"/>
    </w:pPr>
    <w:rPr>
      <w:rFonts w:ascii="Times New Roman" w:hAnsi="Times New Roman"/>
      <w:sz w:val="24"/>
      <w:lang w:eastAsia="pt-BR"/>
    </w:rPr>
  </w:style>
  <w:style w:type="character" w:styleId="nfase">
    <w:name w:val="Emphasis"/>
    <w:basedOn w:val="Fontepargpadro"/>
    <w:uiPriority w:val="20"/>
    <w:qFormat/>
    <w:rsid w:val="007C0E5D"/>
    <w:rPr>
      <w:i/>
      <w:iCs/>
    </w:rPr>
  </w:style>
  <w:style w:type="paragraph" w:customStyle="1" w:styleId="wp-caption-text">
    <w:name w:val="wp-caption-text"/>
    <w:basedOn w:val="Normal"/>
    <w:rsid w:val="007C0E5D"/>
    <w:pPr>
      <w:spacing w:before="100" w:beforeAutospacing="1" w:after="100" w:afterAutospacing="1" w:line="240" w:lineRule="auto"/>
      <w:jc w:val="left"/>
    </w:pPr>
    <w:rPr>
      <w:rFonts w:ascii="Times New Roman" w:hAnsi="Times New Roman"/>
      <w:sz w:val="24"/>
      <w:lang w:eastAsia="pt-BR"/>
    </w:rPr>
  </w:style>
  <w:style w:type="character" w:customStyle="1" w:styleId="apple-converted-space">
    <w:name w:val="apple-converted-space"/>
    <w:basedOn w:val="Fontepargpadro"/>
    <w:rsid w:val="00DD512D"/>
  </w:style>
  <w:style w:type="paragraph" w:styleId="Cabealho">
    <w:name w:val="header"/>
    <w:basedOn w:val="Normal"/>
    <w:link w:val="CabealhoChar"/>
    <w:uiPriority w:val="99"/>
    <w:semiHidden/>
    <w:unhideWhenUsed/>
    <w:rsid w:val="00DE1FC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E1FC0"/>
    <w:rPr>
      <w:rFonts w:ascii="Verdana" w:eastAsia="Times New Roman" w:hAnsi="Verdana" w:cs="Times New Roman"/>
      <w:sz w:val="20"/>
      <w:szCs w:val="24"/>
    </w:rPr>
  </w:style>
  <w:style w:type="paragraph" w:styleId="Rodap">
    <w:name w:val="footer"/>
    <w:basedOn w:val="Normal"/>
    <w:link w:val="RodapChar"/>
    <w:uiPriority w:val="99"/>
    <w:semiHidden/>
    <w:unhideWhenUsed/>
    <w:rsid w:val="00DE1FC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E1FC0"/>
    <w:rPr>
      <w:rFonts w:ascii="Verdana" w:eastAsia="Times New Roman" w:hAnsi="Verdana" w:cs="Times New Roman"/>
      <w:sz w:val="20"/>
      <w:szCs w:val="24"/>
    </w:rPr>
  </w:style>
  <w:style w:type="paragraph" w:styleId="Textodenotadefim">
    <w:name w:val="endnote text"/>
    <w:basedOn w:val="Normal"/>
    <w:link w:val="TextodenotadefimChar"/>
    <w:uiPriority w:val="99"/>
    <w:semiHidden/>
    <w:unhideWhenUsed/>
    <w:rsid w:val="008B32A4"/>
    <w:pPr>
      <w:spacing w:after="0" w:line="240" w:lineRule="auto"/>
    </w:pPr>
    <w:rPr>
      <w:szCs w:val="20"/>
    </w:rPr>
  </w:style>
  <w:style w:type="character" w:customStyle="1" w:styleId="TextodenotadefimChar">
    <w:name w:val="Texto de nota de fim Char"/>
    <w:basedOn w:val="Fontepargpadro"/>
    <w:link w:val="Textodenotadefim"/>
    <w:uiPriority w:val="99"/>
    <w:semiHidden/>
    <w:rsid w:val="008B32A4"/>
    <w:rPr>
      <w:rFonts w:ascii="Verdana" w:eastAsia="Times New Roman" w:hAnsi="Verdana" w:cs="Times New Roman"/>
      <w:sz w:val="20"/>
      <w:szCs w:val="20"/>
    </w:rPr>
  </w:style>
  <w:style w:type="character" w:styleId="Refdenotadefim">
    <w:name w:val="endnote reference"/>
    <w:basedOn w:val="Fontepargpadro"/>
    <w:uiPriority w:val="99"/>
    <w:semiHidden/>
    <w:unhideWhenUsed/>
    <w:rsid w:val="008B32A4"/>
    <w:rPr>
      <w:vertAlign w:val="superscript"/>
    </w:rPr>
  </w:style>
  <w:style w:type="paragraph" w:styleId="Textodenotaderodap">
    <w:name w:val="footnote text"/>
    <w:basedOn w:val="Normal"/>
    <w:link w:val="TextodenotaderodapChar"/>
    <w:uiPriority w:val="99"/>
    <w:semiHidden/>
    <w:unhideWhenUsed/>
    <w:rsid w:val="008B32A4"/>
    <w:pPr>
      <w:spacing w:after="0" w:line="240" w:lineRule="auto"/>
    </w:pPr>
    <w:rPr>
      <w:szCs w:val="20"/>
    </w:rPr>
  </w:style>
  <w:style w:type="character" w:customStyle="1" w:styleId="TextodenotaderodapChar">
    <w:name w:val="Texto de nota de rodapé Char"/>
    <w:basedOn w:val="Fontepargpadro"/>
    <w:link w:val="Textodenotaderodap"/>
    <w:uiPriority w:val="99"/>
    <w:semiHidden/>
    <w:rsid w:val="008B32A4"/>
    <w:rPr>
      <w:rFonts w:ascii="Verdana" w:eastAsia="Times New Roman" w:hAnsi="Verdana" w:cs="Times New Roman"/>
      <w:sz w:val="20"/>
      <w:szCs w:val="20"/>
    </w:rPr>
  </w:style>
  <w:style w:type="character" w:styleId="Refdenotaderodap">
    <w:name w:val="footnote reference"/>
    <w:basedOn w:val="Fontepargpadro"/>
    <w:uiPriority w:val="99"/>
    <w:semiHidden/>
    <w:unhideWhenUsed/>
    <w:rsid w:val="008B32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80"/>
    <w:pPr>
      <w:spacing w:after="360" w:line="360" w:lineRule="auto"/>
      <w:jc w:val="both"/>
    </w:pPr>
    <w:rPr>
      <w:rFonts w:ascii="Verdana" w:eastAsia="Times New Roman" w:hAnsi="Verdana" w:cs="Times New Roman"/>
      <w:sz w:val="20"/>
      <w:szCs w:val="24"/>
    </w:rPr>
  </w:style>
  <w:style w:type="paragraph" w:styleId="Ttulo1">
    <w:name w:val="heading 1"/>
    <w:basedOn w:val="Normal"/>
    <w:next w:val="Normal"/>
    <w:link w:val="Ttulo1Char"/>
    <w:qFormat/>
    <w:rsid w:val="00B10780"/>
    <w:pPr>
      <w:keepNext/>
      <w:pageBreakBefore/>
      <w:numPr>
        <w:numId w:val="1"/>
      </w:numPr>
      <w:spacing w:after="720"/>
      <w:outlineLvl w:val="0"/>
    </w:pPr>
    <w:rPr>
      <w:rFonts w:cs="Arial"/>
      <w:b/>
      <w:bCs/>
      <w:caps/>
      <w:kern w:val="32"/>
    </w:rPr>
  </w:style>
  <w:style w:type="paragraph" w:styleId="Ttulo2">
    <w:name w:val="heading 2"/>
    <w:basedOn w:val="Normal"/>
    <w:next w:val="Normal"/>
    <w:link w:val="Ttulo2Char"/>
    <w:qFormat/>
    <w:rsid w:val="00B10780"/>
    <w:pPr>
      <w:keepNext/>
      <w:numPr>
        <w:ilvl w:val="1"/>
        <w:numId w:val="1"/>
      </w:numPr>
      <w:spacing w:before="720" w:after="720"/>
      <w:outlineLvl w:val="1"/>
    </w:pPr>
    <w:rPr>
      <w:rFonts w:cs="Arial"/>
      <w:b/>
      <w:bCs/>
      <w:iCs/>
      <w:smallCaps/>
    </w:rPr>
  </w:style>
  <w:style w:type="paragraph" w:styleId="Ttulo3">
    <w:name w:val="heading 3"/>
    <w:basedOn w:val="Normal"/>
    <w:next w:val="Normal"/>
    <w:link w:val="Ttulo3Char"/>
    <w:qFormat/>
    <w:rsid w:val="00B10780"/>
    <w:pPr>
      <w:keepNext/>
      <w:numPr>
        <w:ilvl w:val="2"/>
        <w:numId w:val="1"/>
      </w:numPr>
      <w:spacing w:before="720" w:after="720"/>
      <w:outlineLvl w:val="2"/>
    </w:pPr>
    <w:rPr>
      <w:rFonts w:cs="Arial"/>
      <w:b/>
      <w:bCs/>
    </w:rPr>
  </w:style>
  <w:style w:type="paragraph" w:styleId="Ttulo4">
    <w:name w:val="heading 4"/>
    <w:basedOn w:val="Normal"/>
    <w:next w:val="Normal"/>
    <w:link w:val="Ttulo4Char"/>
    <w:qFormat/>
    <w:rsid w:val="00B10780"/>
    <w:pPr>
      <w:keepNext/>
      <w:numPr>
        <w:ilvl w:val="3"/>
        <w:numId w:val="1"/>
      </w:numPr>
      <w:spacing w:before="720" w:after="720"/>
      <w:outlineLvl w:val="3"/>
    </w:pPr>
    <w:rPr>
      <w:bCs/>
      <w:i/>
      <w:smallCaps/>
    </w:rPr>
  </w:style>
  <w:style w:type="paragraph" w:styleId="Ttulo5">
    <w:name w:val="heading 5"/>
    <w:basedOn w:val="Normal"/>
    <w:next w:val="Normal"/>
    <w:link w:val="Ttulo5Char"/>
    <w:qFormat/>
    <w:rsid w:val="00B10780"/>
    <w:pPr>
      <w:numPr>
        <w:ilvl w:val="4"/>
        <w:numId w:val="1"/>
      </w:numPr>
      <w:spacing w:before="720" w:after="720"/>
      <w:outlineLvl w:val="4"/>
    </w:pPr>
    <w:rPr>
      <w:bCs/>
      <w:i/>
      <w:iCs/>
    </w:rPr>
  </w:style>
  <w:style w:type="paragraph" w:styleId="Ttulo6">
    <w:name w:val="heading 6"/>
    <w:basedOn w:val="Normal"/>
    <w:next w:val="Normal"/>
    <w:link w:val="Ttulo6Char"/>
    <w:qFormat/>
    <w:rsid w:val="00B10780"/>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har"/>
    <w:qFormat/>
    <w:rsid w:val="00B10780"/>
    <w:pPr>
      <w:numPr>
        <w:ilvl w:val="6"/>
        <w:numId w:val="1"/>
      </w:numPr>
      <w:spacing w:before="240" w:after="60"/>
      <w:outlineLvl w:val="6"/>
    </w:pPr>
    <w:rPr>
      <w:rFonts w:ascii="Times New Roman" w:hAnsi="Times New Roman"/>
    </w:rPr>
  </w:style>
  <w:style w:type="paragraph" w:styleId="Ttulo8">
    <w:name w:val="heading 8"/>
    <w:basedOn w:val="Normal"/>
    <w:next w:val="Normal"/>
    <w:link w:val="Ttulo8Char"/>
    <w:qFormat/>
    <w:rsid w:val="00B10780"/>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har"/>
    <w:qFormat/>
    <w:rsid w:val="00B10780"/>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10780"/>
    <w:rPr>
      <w:rFonts w:ascii="Verdana" w:eastAsia="Times New Roman" w:hAnsi="Verdana" w:cs="Arial"/>
      <w:b/>
      <w:bCs/>
      <w:caps/>
      <w:kern w:val="32"/>
      <w:sz w:val="20"/>
      <w:szCs w:val="24"/>
    </w:rPr>
  </w:style>
  <w:style w:type="character" w:customStyle="1" w:styleId="Ttulo2Char">
    <w:name w:val="Título 2 Char"/>
    <w:basedOn w:val="Fontepargpadro"/>
    <w:link w:val="Ttulo2"/>
    <w:rsid w:val="00B10780"/>
    <w:rPr>
      <w:rFonts w:ascii="Verdana" w:eastAsia="Times New Roman" w:hAnsi="Verdana" w:cs="Arial"/>
      <w:b/>
      <w:bCs/>
      <w:iCs/>
      <w:smallCaps/>
      <w:sz w:val="20"/>
      <w:szCs w:val="24"/>
    </w:rPr>
  </w:style>
  <w:style w:type="character" w:customStyle="1" w:styleId="Ttulo3Char">
    <w:name w:val="Título 3 Char"/>
    <w:basedOn w:val="Fontepargpadro"/>
    <w:link w:val="Ttulo3"/>
    <w:rsid w:val="00B10780"/>
    <w:rPr>
      <w:rFonts w:ascii="Verdana" w:eastAsia="Times New Roman" w:hAnsi="Verdana" w:cs="Arial"/>
      <w:b/>
      <w:bCs/>
      <w:sz w:val="20"/>
      <w:szCs w:val="24"/>
    </w:rPr>
  </w:style>
  <w:style w:type="character" w:customStyle="1" w:styleId="Ttulo4Char">
    <w:name w:val="Título 4 Char"/>
    <w:basedOn w:val="Fontepargpadro"/>
    <w:link w:val="Ttulo4"/>
    <w:rsid w:val="00B10780"/>
    <w:rPr>
      <w:rFonts w:ascii="Verdana" w:eastAsia="Times New Roman" w:hAnsi="Verdana" w:cs="Times New Roman"/>
      <w:bCs/>
      <w:i/>
      <w:smallCaps/>
      <w:sz w:val="20"/>
      <w:szCs w:val="24"/>
    </w:rPr>
  </w:style>
  <w:style w:type="character" w:customStyle="1" w:styleId="Ttulo5Char">
    <w:name w:val="Título 5 Char"/>
    <w:basedOn w:val="Fontepargpadro"/>
    <w:link w:val="Ttulo5"/>
    <w:rsid w:val="00B10780"/>
    <w:rPr>
      <w:rFonts w:ascii="Verdana" w:eastAsia="Times New Roman" w:hAnsi="Verdana" w:cs="Times New Roman"/>
      <w:bCs/>
      <w:i/>
      <w:iCs/>
      <w:sz w:val="20"/>
      <w:szCs w:val="24"/>
    </w:rPr>
  </w:style>
  <w:style w:type="character" w:customStyle="1" w:styleId="Ttulo6Char">
    <w:name w:val="Título 6 Char"/>
    <w:basedOn w:val="Fontepargpadro"/>
    <w:link w:val="Ttulo6"/>
    <w:rsid w:val="00B10780"/>
    <w:rPr>
      <w:rFonts w:ascii="Times New Roman" w:eastAsia="Times New Roman" w:hAnsi="Times New Roman" w:cs="Times New Roman"/>
      <w:b/>
      <w:bCs/>
    </w:rPr>
  </w:style>
  <w:style w:type="character" w:customStyle="1" w:styleId="Ttulo7Char">
    <w:name w:val="Título 7 Char"/>
    <w:basedOn w:val="Fontepargpadro"/>
    <w:link w:val="Ttulo7"/>
    <w:rsid w:val="00B10780"/>
    <w:rPr>
      <w:rFonts w:ascii="Times New Roman" w:eastAsia="Times New Roman" w:hAnsi="Times New Roman" w:cs="Times New Roman"/>
      <w:sz w:val="20"/>
      <w:szCs w:val="24"/>
    </w:rPr>
  </w:style>
  <w:style w:type="character" w:customStyle="1" w:styleId="Ttulo8Char">
    <w:name w:val="Título 8 Char"/>
    <w:basedOn w:val="Fontepargpadro"/>
    <w:link w:val="Ttulo8"/>
    <w:rsid w:val="00B10780"/>
    <w:rPr>
      <w:rFonts w:ascii="Times New Roman" w:eastAsia="Times New Roman" w:hAnsi="Times New Roman" w:cs="Times New Roman"/>
      <w:i/>
      <w:iCs/>
      <w:sz w:val="20"/>
      <w:szCs w:val="24"/>
    </w:rPr>
  </w:style>
  <w:style w:type="character" w:customStyle="1" w:styleId="Ttulo9Char">
    <w:name w:val="Título 9 Char"/>
    <w:basedOn w:val="Fontepargpadro"/>
    <w:link w:val="Ttulo9"/>
    <w:rsid w:val="00B10780"/>
    <w:rPr>
      <w:rFonts w:ascii="Arial" w:eastAsia="Times New Roman" w:hAnsi="Arial" w:cs="Arial"/>
    </w:rPr>
  </w:style>
  <w:style w:type="paragraph" w:customStyle="1" w:styleId="EstiloTtulo111pt">
    <w:name w:val="Estilo Título 1 + 11 pt"/>
    <w:basedOn w:val="Ttulo1"/>
    <w:rsid w:val="00B10780"/>
  </w:style>
  <w:style w:type="character" w:customStyle="1" w:styleId="Estilo11ptVermelho">
    <w:name w:val="Estilo 11 pt Vermelho"/>
    <w:rsid w:val="00B10780"/>
    <w:rPr>
      <w:color w:val="FF0000"/>
      <w:sz w:val="20"/>
    </w:rPr>
  </w:style>
  <w:style w:type="paragraph" w:styleId="Textodebalo">
    <w:name w:val="Balloon Text"/>
    <w:basedOn w:val="Normal"/>
    <w:link w:val="TextodebaloChar"/>
    <w:uiPriority w:val="99"/>
    <w:semiHidden/>
    <w:unhideWhenUsed/>
    <w:rsid w:val="006828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28BF"/>
    <w:rPr>
      <w:rFonts w:ascii="Tahoma" w:eastAsia="Times New Roman" w:hAnsi="Tahoma" w:cs="Tahoma"/>
      <w:sz w:val="16"/>
      <w:szCs w:val="16"/>
    </w:rPr>
  </w:style>
  <w:style w:type="paragraph" w:styleId="PargrafodaLista">
    <w:name w:val="List Paragraph"/>
    <w:basedOn w:val="Normal"/>
    <w:uiPriority w:val="34"/>
    <w:qFormat/>
    <w:rsid w:val="007E5FCD"/>
    <w:pPr>
      <w:ind w:left="720"/>
      <w:contextualSpacing/>
    </w:pPr>
  </w:style>
  <w:style w:type="character" w:customStyle="1" w:styleId="z3988">
    <w:name w:val="z3988"/>
    <w:basedOn w:val="Fontepargpadro"/>
    <w:rsid w:val="00630117"/>
  </w:style>
  <w:style w:type="paragraph" w:customStyle="1" w:styleId="Default">
    <w:name w:val="Default"/>
    <w:rsid w:val="00445A7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Fontepargpadro"/>
    <w:uiPriority w:val="99"/>
    <w:unhideWhenUsed/>
    <w:rsid w:val="007C0E5D"/>
    <w:rPr>
      <w:color w:val="0000FF"/>
      <w:u w:val="single"/>
    </w:rPr>
  </w:style>
  <w:style w:type="paragraph" w:styleId="NormalWeb">
    <w:name w:val="Normal (Web)"/>
    <w:basedOn w:val="Normal"/>
    <w:uiPriority w:val="99"/>
    <w:unhideWhenUsed/>
    <w:rsid w:val="007C0E5D"/>
    <w:pPr>
      <w:spacing w:before="100" w:beforeAutospacing="1" w:after="100" w:afterAutospacing="1" w:line="240" w:lineRule="auto"/>
      <w:jc w:val="left"/>
    </w:pPr>
    <w:rPr>
      <w:rFonts w:ascii="Times New Roman" w:hAnsi="Times New Roman"/>
      <w:sz w:val="24"/>
      <w:lang w:eastAsia="pt-BR"/>
    </w:rPr>
  </w:style>
  <w:style w:type="character" w:styleId="nfase">
    <w:name w:val="Emphasis"/>
    <w:basedOn w:val="Fontepargpadro"/>
    <w:uiPriority w:val="20"/>
    <w:qFormat/>
    <w:rsid w:val="007C0E5D"/>
    <w:rPr>
      <w:i/>
      <w:iCs/>
    </w:rPr>
  </w:style>
  <w:style w:type="paragraph" w:customStyle="1" w:styleId="wp-caption-text">
    <w:name w:val="wp-caption-text"/>
    <w:basedOn w:val="Normal"/>
    <w:rsid w:val="007C0E5D"/>
    <w:pPr>
      <w:spacing w:before="100" w:beforeAutospacing="1" w:after="100" w:afterAutospacing="1" w:line="240" w:lineRule="auto"/>
      <w:jc w:val="left"/>
    </w:pPr>
    <w:rPr>
      <w:rFonts w:ascii="Times New Roman" w:hAnsi="Times New Roman"/>
      <w:sz w:val="24"/>
      <w:lang w:eastAsia="pt-BR"/>
    </w:rPr>
  </w:style>
  <w:style w:type="character" w:customStyle="1" w:styleId="apple-converted-space">
    <w:name w:val="apple-converted-space"/>
    <w:basedOn w:val="Fontepargpadro"/>
    <w:rsid w:val="00DD512D"/>
  </w:style>
  <w:style w:type="paragraph" w:styleId="Cabealho">
    <w:name w:val="header"/>
    <w:basedOn w:val="Normal"/>
    <w:link w:val="CabealhoChar"/>
    <w:uiPriority w:val="99"/>
    <w:semiHidden/>
    <w:unhideWhenUsed/>
    <w:rsid w:val="00DE1FC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E1FC0"/>
    <w:rPr>
      <w:rFonts w:ascii="Verdana" w:eastAsia="Times New Roman" w:hAnsi="Verdana" w:cs="Times New Roman"/>
      <w:sz w:val="20"/>
      <w:szCs w:val="24"/>
    </w:rPr>
  </w:style>
  <w:style w:type="paragraph" w:styleId="Rodap">
    <w:name w:val="footer"/>
    <w:basedOn w:val="Normal"/>
    <w:link w:val="RodapChar"/>
    <w:uiPriority w:val="99"/>
    <w:semiHidden/>
    <w:unhideWhenUsed/>
    <w:rsid w:val="00DE1FC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E1FC0"/>
    <w:rPr>
      <w:rFonts w:ascii="Verdana" w:eastAsia="Times New Roman" w:hAnsi="Verdana" w:cs="Times New Roman"/>
      <w:sz w:val="20"/>
      <w:szCs w:val="24"/>
    </w:rPr>
  </w:style>
  <w:style w:type="paragraph" w:styleId="Textodenotadefim">
    <w:name w:val="endnote text"/>
    <w:basedOn w:val="Normal"/>
    <w:link w:val="TextodenotadefimChar"/>
    <w:uiPriority w:val="99"/>
    <w:semiHidden/>
    <w:unhideWhenUsed/>
    <w:rsid w:val="008B32A4"/>
    <w:pPr>
      <w:spacing w:after="0" w:line="240" w:lineRule="auto"/>
    </w:pPr>
    <w:rPr>
      <w:szCs w:val="20"/>
    </w:rPr>
  </w:style>
  <w:style w:type="character" w:customStyle="1" w:styleId="TextodenotadefimChar">
    <w:name w:val="Texto de nota de fim Char"/>
    <w:basedOn w:val="Fontepargpadro"/>
    <w:link w:val="Textodenotadefim"/>
    <w:uiPriority w:val="99"/>
    <w:semiHidden/>
    <w:rsid w:val="008B32A4"/>
    <w:rPr>
      <w:rFonts w:ascii="Verdana" w:eastAsia="Times New Roman" w:hAnsi="Verdana" w:cs="Times New Roman"/>
      <w:sz w:val="20"/>
      <w:szCs w:val="20"/>
    </w:rPr>
  </w:style>
  <w:style w:type="character" w:styleId="Refdenotadefim">
    <w:name w:val="endnote reference"/>
    <w:basedOn w:val="Fontepargpadro"/>
    <w:uiPriority w:val="99"/>
    <w:semiHidden/>
    <w:unhideWhenUsed/>
    <w:rsid w:val="008B32A4"/>
    <w:rPr>
      <w:vertAlign w:val="superscript"/>
    </w:rPr>
  </w:style>
  <w:style w:type="paragraph" w:styleId="Textodenotaderodap">
    <w:name w:val="footnote text"/>
    <w:basedOn w:val="Normal"/>
    <w:link w:val="TextodenotaderodapChar"/>
    <w:uiPriority w:val="99"/>
    <w:semiHidden/>
    <w:unhideWhenUsed/>
    <w:rsid w:val="008B32A4"/>
    <w:pPr>
      <w:spacing w:after="0" w:line="240" w:lineRule="auto"/>
    </w:pPr>
    <w:rPr>
      <w:szCs w:val="20"/>
    </w:rPr>
  </w:style>
  <w:style w:type="character" w:customStyle="1" w:styleId="TextodenotaderodapChar">
    <w:name w:val="Texto de nota de rodapé Char"/>
    <w:basedOn w:val="Fontepargpadro"/>
    <w:link w:val="Textodenotaderodap"/>
    <w:uiPriority w:val="99"/>
    <w:semiHidden/>
    <w:rsid w:val="008B32A4"/>
    <w:rPr>
      <w:rFonts w:ascii="Verdana" w:eastAsia="Times New Roman" w:hAnsi="Verdana" w:cs="Times New Roman"/>
      <w:sz w:val="20"/>
      <w:szCs w:val="20"/>
    </w:rPr>
  </w:style>
  <w:style w:type="character" w:styleId="Refdenotaderodap">
    <w:name w:val="footnote reference"/>
    <w:basedOn w:val="Fontepargpadro"/>
    <w:uiPriority w:val="99"/>
    <w:semiHidden/>
    <w:unhideWhenUsed/>
    <w:rsid w:val="008B32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9129">
      <w:bodyDiv w:val="1"/>
      <w:marLeft w:val="0"/>
      <w:marRight w:val="0"/>
      <w:marTop w:val="0"/>
      <w:marBottom w:val="0"/>
      <w:divBdr>
        <w:top w:val="none" w:sz="0" w:space="0" w:color="auto"/>
        <w:left w:val="none" w:sz="0" w:space="0" w:color="auto"/>
        <w:bottom w:val="none" w:sz="0" w:space="0" w:color="auto"/>
        <w:right w:val="none" w:sz="0" w:space="0" w:color="auto"/>
      </w:divBdr>
    </w:div>
    <w:div w:id="79451124">
      <w:bodyDiv w:val="1"/>
      <w:marLeft w:val="0"/>
      <w:marRight w:val="0"/>
      <w:marTop w:val="0"/>
      <w:marBottom w:val="0"/>
      <w:divBdr>
        <w:top w:val="none" w:sz="0" w:space="0" w:color="auto"/>
        <w:left w:val="none" w:sz="0" w:space="0" w:color="auto"/>
        <w:bottom w:val="none" w:sz="0" w:space="0" w:color="auto"/>
        <w:right w:val="none" w:sz="0" w:space="0" w:color="auto"/>
      </w:divBdr>
    </w:div>
    <w:div w:id="383408833">
      <w:bodyDiv w:val="1"/>
      <w:marLeft w:val="0"/>
      <w:marRight w:val="0"/>
      <w:marTop w:val="0"/>
      <w:marBottom w:val="0"/>
      <w:divBdr>
        <w:top w:val="none" w:sz="0" w:space="0" w:color="auto"/>
        <w:left w:val="none" w:sz="0" w:space="0" w:color="auto"/>
        <w:bottom w:val="none" w:sz="0" w:space="0" w:color="auto"/>
        <w:right w:val="none" w:sz="0" w:space="0" w:color="auto"/>
      </w:divBdr>
    </w:div>
    <w:div w:id="473956593">
      <w:bodyDiv w:val="1"/>
      <w:marLeft w:val="0"/>
      <w:marRight w:val="0"/>
      <w:marTop w:val="0"/>
      <w:marBottom w:val="0"/>
      <w:divBdr>
        <w:top w:val="none" w:sz="0" w:space="0" w:color="auto"/>
        <w:left w:val="none" w:sz="0" w:space="0" w:color="auto"/>
        <w:bottom w:val="none" w:sz="0" w:space="0" w:color="auto"/>
        <w:right w:val="none" w:sz="0" w:space="0" w:color="auto"/>
      </w:divBdr>
    </w:div>
    <w:div w:id="504978963">
      <w:bodyDiv w:val="1"/>
      <w:marLeft w:val="0"/>
      <w:marRight w:val="0"/>
      <w:marTop w:val="0"/>
      <w:marBottom w:val="0"/>
      <w:divBdr>
        <w:top w:val="none" w:sz="0" w:space="0" w:color="auto"/>
        <w:left w:val="none" w:sz="0" w:space="0" w:color="auto"/>
        <w:bottom w:val="none" w:sz="0" w:space="0" w:color="auto"/>
        <w:right w:val="none" w:sz="0" w:space="0" w:color="auto"/>
      </w:divBdr>
    </w:div>
    <w:div w:id="505365260">
      <w:bodyDiv w:val="1"/>
      <w:marLeft w:val="0"/>
      <w:marRight w:val="0"/>
      <w:marTop w:val="0"/>
      <w:marBottom w:val="0"/>
      <w:divBdr>
        <w:top w:val="none" w:sz="0" w:space="0" w:color="auto"/>
        <w:left w:val="none" w:sz="0" w:space="0" w:color="auto"/>
        <w:bottom w:val="none" w:sz="0" w:space="0" w:color="auto"/>
        <w:right w:val="none" w:sz="0" w:space="0" w:color="auto"/>
      </w:divBdr>
    </w:div>
    <w:div w:id="535853242">
      <w:bodyDiv w:val="1"/>
      <w:marLeft w:val="0"/>
      <w:marRight w:val="0"/>
      <w:marTop w:val="0"/>
      <w:marBottom w:val="0"/>
      <w:divBdr>
        <w:top w:val="none" w:sz="0" w:space="0" w:color="auto"/>
        <w:left w:val="none" w:sz="0" w:space="0" w:color="auto"/>
        <w:bottom w:val="none" w:sz="0" w:space="0" w:color="auto"/>
        <w:right w:val="none" w:sz="0" w:space="0" w:color="auto"/>
      </w:divBdr>
    </w:div>
    <w:div w:id="635645317">
      <w:bodyDiv w:val="1"/>
      <w:marLeft w:val="0"/>
      <w:marRight w:val="0"/>
      <w:marTop w:val="0"/>
      <w:marBottom w:val="0"/>
      <w:divBdr>
        <w:top w:val="none" w:sz="0" w:space="0" w:color="auto"/>
        <w:left w:val="none" w:sz="0" w:space="0" w:color="auto"/>
        <w:bottom w:val="none" w:sz="0" w:space="0" w:color="auto"/>
        <w:right w:val="none" w:sz="0" w:space="0" w:color="auto"/>
      </w:divBdr>
    </w:div>
    <w:div w:id="641423768">
      <w:bodyDiv w:val="1"/>
      <w:marLeft w:val="0"/>
      <w:marRight w:val="0"/>
      <w:marTop w:val="0"/>
      <w:marBottom w:val="0"/>
      <w:divBdr>
        <w:top w:val="none" w:sz="0" w:space="0" w:color="auto"/>
        <w:left w:val="none" w:sz="0" w:space="0" w:color="auto"/>
        <w:bottom w:val="none" w:sz="0" w:space="0" w:color="auto"/>
        <w:right w:val="none" w:sz="0" w:space="0" w:color="auto"/>
      </w:divBdr>
    </w:div>
    <w:div w:id="655569878">
      <w:bodyDiv w:val="1"/>
      <w:marLeft w:val="0"/>
      <w:marRight w:val="0"/>
      <w:marTop w:val="0"/>
      <w:marBottom w:val="0"/>
      <w:divBdr>
        <w:top w:val="none" w:sz="0" w:space="0" w:color="auto"/>
        <w:left w:val="none" w:sz="0" w:space="0" w:color="auto"/>
        <w:bottom w:val="none" w:sz="0" w:space="0" w:color="auto"/>
        <w:right w:val="none" w:sz="0" w:space="0" w:color="auto"/>
      </w:divBdr>
    </w:div>
    <w:div w:id="670716907">
      <w:bodyDiv w:val="1"/>
      <w:marLeft w:val="0"/>
      <w:marRight w:val="0"/>
      <w:marTop w:val="0"/>
      <w:marBottom w:val="0"/>
      <w:divBdr>
        <w:top w:val="none" w:sz="0" w:space="0" w:color="auto"/>
        <w:left w:val="none" w:sz="0" w:space="0" w:color="auto"/>
        <w:bottom w:val="none" w:sz="0" w:space="0" w:color="auto"/>
        <w:right w:val="none" w:sz="0" w:space="0" w:color="auto"/>
      </w:divBdr>
    </w:div>
    <w:div w:id="1151796272">
      <w:bodyDiv w:val="1"/>
      <w:marLeft w:val="0"/>
      <w:marRight w:val="0"/>
      <w:marTop w:val="0"/>
      <w:marBottom w:val="0"/>
      <w:divBdr>
        <w:top w:val="none" w:sz="0" w:space="0" w:color="auto"/>
        <w:left w:val="none" w:sz="0" w:space="0" w:color="auto"/>
        <w:bottom w:val="none" w:sz="0" w:space="0" w:color="auto"/>
        <w:right w:val="none" w:sz="0" w:space="0" w:color="auto"/>
      </w:divBdr>
    </w:div>
    <w:div w:id="1174799780">
      <w:bodyDiv w:val="1"/>
      <w:marLeft w:val="0"/>
      <w:marRight w:val="0"/>
      <w:marTop w:val="0"/>
      <w:marBottom w:val="0"/>
      <w:divBdr>
        <w:top w:val="none" w:sz="0" w:space="0" w:color="auto"/>
        <w:left w:val="none" w:sz="0" w:space="0" w:color="auto"/>
        <w:bottom w:val="none" w:sz="0" w:space="0" w:color="auto"/>
        <w:right w:val="none" w:sz="0" w:space="0" w:color="auto"/>
      </w:divBdr>
    </w:div>
    <w:div w:id="1223099431">
      <w:bodyDiv w:val="1"/>
      <w:marLeft w:val="0"/>
      <w:marRight w:val="0"/>
      <w:marTop w:val="0"/>
      <w:marBottom w:val="0"/>
      <w:divBdr>
        <w:top w:val="none" w:sz="0" w:space="0" w:color="auto"/>
        <w:left w:val="none" w:sz="0" w:space="0" w:color="auto"/>
        <w:bottom w:val="none" w:sz="0" w:space="0" w:color="auto"/>
        <w:right w:val="none" w:sz="0" w:space="0" w:color="auto"/>
      </w:divBdr>
    </w:div>
    <w:div w:id="1267663863">
      <w:bodyDiv w:val="1"/>
      <w:marLeft w:val="0"/>
      <w:marRight w:val="0"/>
      <w:marTop w:val="0"/>
      <w:marBottom w:val="0"/>
      <w:divBdr>
        <w:top w:val="none" w:sz="0" w:space="0" w:color="auto"/>
        <w:left w:val="none" w:sz="0" w:space="0" w:color="auto"/>
        <w:bottom w:val="none" w:sz="0" w:space="0" w:color="auto"/>
        <w:right w:val="none" w:sz="0" w:space="0" w:color="auto"/>
      </w:divBdr>
    </w:div>
    <w:div w:id="1346665705">
      <w:bodyDiv w:val="1"/>
      <w:marLeft w:val="0"/>
      <w:marRight w:val="0"/>
      <w:marTop w:val="0"/>
      <w:marBottom w:val="0"/>
      <w:divBdr>
        <w:top w:val="none" w:sz="0" w:space="0" w:color="auto"/>
        <w:left w:val="none" w:sz="0" w:space="0" w:color="auto"/>
        <w:bottom w:val="none" w:sz="0" w:space="0" w:color="auto"/>
        <w:right w:val="none" w:sz="0" w:space="0" w:color="auto"/>
      </w:divBdr>
    </w:div>
    <w:div w:id="1375078798">
      <w:bodyDiv w:val="1"/>
      <w:marLeft w:val="0"/>
      <w:marRight w:val="0"/>
      <w:marTop w:val="0"/>
      <w:marBottom w:val="0"/>
      <w:divBdr>
        <w:top w:val="none" w:sz="0" w:space="0" w:color="auto"/>
        <w:left w:val="none" w:sz="0" w:space="0" w:color="auto"/>
        <w:bottom w:val="none" w:sz="0" w:space="0" w:color="auto"/>
        <w:right w:val="none" w:sz="0" w:space="0" w:color="auto"/>
      </w:divBdr>
    </w:div>
    <w:div w:id="1598051250">
      <w:bodyDiv w:val="1"/>
      <w:marLeft w:val="0"/>
      <w:marRight w:val="0"/>
      <w:marTop w:val="0"/>
      <w:marBottom w:val="0"/>
      <w:divBdr>
        <w:top w:val="none" w:sz="0" w:space="0" w:color="auto"/>
        <w:left w:val="none" w:sz="0" w:space="0" w:color="auto"/>
        <w:bottom w:val="none" w:sz="0" w:space="0" w:color="auto"/>
        <w:right w:val="none" w:sz="0" w:space="0" w:color="auto"/>
      </w:divBdr>
    </w:div>
    <w:div w:id="1705905277">
      <w:bodyDiv w:val="1"/>
      <w:marLeft w:val="0"/>
      <w:marRight w:val="0"/>
      <w:marTop w:val="0"/>
      <w:marBottom w:val="0"/>
      <w:divBdr>
        <w:top w:val="none" w:sz="0" w:space="0" w:color="auto"/>
        <w:left w:val="none" w:sz="0" w:space="0" w:color="auto"/>
        <w:bottom w:val="none" w:sz="0" w:space="0" w:color="auto"/>
        <w:right w:val="none" w:sz="0" w:space="0" w:color="auto"/>
      </w:divBdr>
    </w:div>
    <w:div w:id="1765807650">
      <w:bodyDiv w:val="1"/>
      <w:marLeft w:val="0"/>
      <w:marRight w:val="0"/>
      <w:marTop w:val="0"/>
      <w:marBottom w:val="0"/>
      <w:divBdr>
        <w:top w:val="none" w:sz="0" w:space="0" w:color="auto"/>
        <w:left w:val="none" w:sz="0" w:space="0" w:color="auto"/>
        <w:bottom w:val="none" w:sz="0" w:space="0" w:color="auto"/>
        <w:right w:val="none" w:sz="0" w:space="0" w:color="auto"/>
      </w:divBdr>
    </w:div>
    <w:div w:id="1802337761">
      <w:bodyDiv w:val="1"/>
      <w:marLeft w:val="0"/>
      <w:marRight w:val="0"/>
      <w:marTop w:val="0"/>
      <w:marBottom w:val="0"/>
      <w:divBdr>
        <w:top w:val="none" w:sz="0" w:space="0" w:color="auto"/>
        <w:left w:val="none" w:sz="0" w:space="0" w:color="auto"/>
        <w:bottom w:val="none" w:sz="0" w:space="0" w:color="auto"/>
        <w:right w:val="none" w:sz="0" w:space="0" w:color="auto"/>
      </w:divBdr>
    </w:div>
    <w:div w:id="1808664936">
      <w:bodyDiv w:val="1"/>
      <w:marLeft w:val="0"/>
      <w:marRight w:val="0"/>
      <w:marTop w:val="0"/>
      <w:marBottom w:val="0"/>
      <w:divBdr>
        <w:top w:val="none" w:sz="0" w:space="0" w:color="auto"/>
        <w:left w:val="none" w:sz="0" w:space="0" w:color="auto"/>
        <w:bottom w:val="none" w:sz="0" w:space="0" w:color="auto"/>
        <w:right w:val="none" w:sz="0" w:space="0" w:color="auto"/>
      </w:divBdr>
    </w:div>
    <w:div w:id="1818447936">
      <w:bodyDiv w:val="1"/>
      <w:marLeft w:val="0"/>
      <w:marRight w:val="0"/>
      <w:marTop w:val="0"/>
      <w:marBottom w:val="0"/>
      <w:divBdr>
        <w:top w:val="none" w:sz="0" w:space="0" w:color="auto"/>
        <w:left w:val="none" w:sz="0" w:space="0" w:color="auto"/>
        <w:bottom w:val="none" w:sz="0" w:space="0" w:color="auto"/>
        <w:right w:val="none" w:sz="0" w:space="0" w:color="auto"/>
      </w:divBdr>
    </w:div>
    <w:div w:id="1821919649">
      <w:bodyDiv w:val="1"/>
      <w:marLeft w:val="0"/>
      <w:marRight w:val="0"/>
      <w:marTop w:val="0"/>
      <w:marBottom w:val="0"/>
      <w:divBdr>
        <w:top w:val="none" w:sz="0" w:space="0" w:color="auto"/>
        <w:left w:val="none" w:sz="0" w:space="0" w:color="auto"/>
        <w:bottom w:val="none" w:sz="0" w:space="0" w:color="auto"/>
        <w:right w:val="none" w:sz="0" w:space="0" w:color="auto"/>
      </w:divBdr>
    </w:div>
    <w:div w:id="1842695301">
      <w:bodyDiv w:val="1"/>
      <w:marLeft w:val="0"/>
      <w:marRight w:val="0"/>
      <w:marTop w:val="0"/>
      <w:marBottom w:val="0"/>
      <w:divBdr>
        <w:top w:val="none" w:sz="0" w:space="0" w:color="auto"/>
        <w:left w:val="none" w:sz="0" w:space="0" w:color="auto"/>
        <w:bottom w:val="none" w:sz="0" w:space="0" w:color="auto"/>
        <w:right w:val="none" w:sz="0" w:space="0" w:color="auto"/>
      </w:divBdr>
    </w:div>
    <w:div w:id="1873877760">
      <w:bodyDiv w:val="1"/>
      <w:marLeft w:val="0"/>
      <w:marRight w:val="0"/>
      <w:marTop w:val="0"/>
      <w:marBottom w:val="0"/>
      <w:divBdr>
        <w:top w:val="none" w:sz="0" w:space="0" w:color="auto"/>
        <w:left w:val="none" w:sz="0" w:space="0" w:color="auto"/>
        <w:bottom w:val="none" w:sz="0" w:space="0" w:color="auto"/>
        <w:right w:val="none" w:sz="0" w:space="0" w:color="auto"/>
      </w:divBdr>
    </w:div>
    <w:div w:id="1877429329">
      <w:bodyDiv w:val="1"/>
      <w:marLeft w:val="0"/>
      <w:marRight w:val="0"/>
      <w:marTop w:val="0"/>
      <w:marBottom w:val="0"/>
      <w:divBdr>
        <w:top w:val="none" w:sz="0" w:space="0" w:color="auto"/>
        <w:left w:val="none" w:sz="0" w:space="0" w:color="auto"/>
        <w:bottom w:val="none" w:sz="0" w:space="0" w:color="auto"/>
        <w:right w:val="none" w:sz="0" w:space="0" w:color="auto"/>
      </w:divBdr>
    </w:div>
    <w:div w:id="1878660103">
      <w:bodyDiv w:val="1"/>
      <w:marLeft w:val="0"/>
      <w:marRight w:val="0"/>
      <w:marTop w:val="0"/>
      <w:marBottom w:val="0"/>
      <w:divBdr>
        <w:top w:val="none" w:sz="0" w:space="0" w:color="auto"/>
        <w:left w:val="none" w:sz="0" w:space="0" w:color="auto"/>
        <w:bottom w:val="none" w:sz="0" w:space="0" w:color="auto"/>
        <w:right w:val="none" w:sz="0" w:space="0" w:color="auto"/>
      </w:divBdr>
    </w:div>
    <w:div w:id="191366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rn.com/abstract=230602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0D810-C3DF-45A9-B548-9185B204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4275</Words>
  <Characters>23088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Kawauti</Company>
  <LinksUpToDate>false</LinksUpToDate>
  <CharactersWithSpaces>27309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Kawauti</dc:creator>
  <cp:lastModifiedBy>user</cp:lastModifiedBy>
  <cp:revision>2</cp:revision>
  <cp:lastPrinted>2015-07-28T17:26:00Z</cp:lastPrinted>
  <dcterms:created xsi:type="dcterms:W3CDTF">2015-07-31T18:44:00Z</dcterms:created>
  <dcterms:modified xsi:type="dcterms:W3CDTF">2015-07-31T18:44:00Z</dcterms:modified>
</cp:coreProperties>
</file>